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71" w:rsidRDefault="009E218A" w:rsidP="009E218A">
      <w:pPr>
        <w:suppressAutoHyphens/>
        <w:spacing w:after="1200" w:line="360" w:lineRule="auto"/>
        <w:ind w:left="567" w:right="-1"/>
        <w:jc w:val="right"/>
        <w:rPr>
          <w:rFonts w:ascii="Verdana" w:eastAsia="Times New Roman" w:hAnsi="Verdana" w:cs="Times New Roman"/>
          <w:b/>
          <w:bCs/>
          <w:sz w:val="20"/>
          <w:szCs w:val="20"/>
          <w:lang w:eastAsia="ar-SA"/>
        </w:rPr>
      </w:pPr>
      <w:bookmarkStart w:id="0" w:name="_GoBack"/>
      <w:r>
        <w:rPr>
          <w:rFonts w:ascii="Verdana" w:eastAsia="Times New Roman" w:hAnsi="Verdana" w:cs="Times New Roman"/>
          <w:b/>
          <w:bCs/>
          <w:sz w:val="20"/>
          <w:szCs w:val="20"/>
          <w:lang w:eastAsia="ar-SA"/>
        </w:rPr>
        <w:t>Deliberazione n. 89/2018/PAR</w:t>
      </w:r>
    </w:p>
    <w:p w:rsidR="00483771" w:rsidRPr="00483771" w:rsidRDefault="00483771" w:rsidP="00483771">
      <w:pPr>
        <w:suppressAutoHyphens/>
        <w:spacing w:after="0" w:line="360" w:lineRule="auto"/>
        <w:ind w:left="567" w:right="851"/>
        <w:jc w:val="center"/>
        <w:rPr>
          <w:rFonts w:ascii="Verdana" w:eastAsia="Times New Roman" w:hAnsi="Verdana" w:cs="Times New Roman"/>
          <w:b/>
          <w:bCs/>
          <w:sz w:val="20"/>
          <w:szCs w:val="20"/>
          <w:lang w:eastAsia="ar-SA"/>
        </w:rPr>
      </w:pPr>
      <w:r w:rsidRPr="00483771">
        <w:rPr>
          <w:rFonts w:ascii="Verdana" w:eastAsia="Times New Roman" w:hAnsi="Verdana" w:cs="Times New Roman"/>
          <w:b/>
          <w:bCs/>
          <w:sz w:val="20"/>
          <w:szCs w:val="20"/>
          <w:lang w:eastAsia="ar-SA"/>
        </w:rPr>
        <w:t>REPUBBLICA ITALIANA</w:t>
      </w:r>
    </w:p>
    <w:p w:rsidR="00483771" w:rsidRPr="00483771" w:rsidRDefault="00483771" w:rsidP="00483771">
      <w:pPr>
        <w:suppressAutoHyphens/>
        <w:spacing w:after="0" w:line="360" w:lineRule="auto"/>
        <w:ind w:left="567" w:right="851"/>
        <w:jc w:val="center"/>
        <w:rPr>
          <w:rFonts w:ascii="Verdana" w:eastAsia="Times New Roman" w:hAnsi="Verdana" w:cs="Times New Roman"/>
          <w:b/>
          <w:bCs/>
          <w:sz w:val="20"/>
          <w:szCs w:val="20"/>
          <w:lang w:eastAsia="ar-SA"/>
        </w:rPr>
      </w:pPr>
      <w:r w:rsidRPr="00483771">
        <w:rPr>
          <w:rFonts w:ascii="Verdana" w:eastAsia="Times New Roman" w:hAnsi="Verdana" w:cs="Times New Roman"/>
          <w:b/>
          <w:bCs/>
          <w:sz w:val="20"/>
          <w:szCs w:val="20"/>
          <w:lang w:eastAsia="ar-SA"/>
        </w:rPr>
        <w:t>la</w:t>
      </w:r>
    </w:p>
    <w:p w:rsidR="00483771" w:rsidRPr="00483771" w:rsidRDefault="00483771" w:rsidP="00483771">
      <w:pPr>
        <w:suppressAutoHyphens/>
        <w:spacing w:after="0" w:line="360" w:lineRule="auto"/>
        <w:ind w:left="567" w:right="851"/>
        <w:jc w:val="center"/>
        <w:rPr>
          <w:rFonts w:ascii="Verdana" w:eastAsia="Times New Roman" w:hAnsi="Verdana" w:cs="Times New Roman"/>
          <w:b/>
          <w:bCs/>
          <w:sz w:val="20"/>
          <w:szCs w:val="20"/>
          <w:lang w:eastAsia="ar-SA"/>
        </w:rPr>
      </w:pPr>
      <w:r w:rsidRPr="00483771">
        <w:rPr>
          <w:rFonts w:ascii="Verdana" w:eastAsia="Times New Roman" w:hAnsi="Verdana" w:cs="Times New Roman"/>
          <w:b/>
          <w:bCs/>
          <w:sz w:val="20"/>
          <w:szCs w:val="20"/>
          <w:lang w:eastAsia="ar-SA"/>
        </w:rPr>
        <w:t>Corte dei conti</w:t>
      </w:r>
    </w:p>
    <w:p w:rsidR="00483771" w:rsidRPr="00483771" w:rsidRDefault="00483771" w:rsidP="00483771">
      <w:pPr>
        <w:suppressAutoHyphens/>
        <w:spacing w:after="0" w:line="360" w:lineRule="auto"/>
        <w:ind w:left="567" w:right="851"/>
        <w:jc w:val="center"/>
        <w:rPr>
          <w:rFonts w:ascii="Verdana" w:eastAsia="Times New Roman" w:hAnsi="Verdana" w:cs="Times New Roman"/>
          <w:b/>
          <w:bCs/>
          <w:sz w:val="20"/>
          <w:szCs w:val="20"/>
          <w:lang w:eastAsia="ar-SA"/>
        </w:rPr>
      </w:pPr>
      <w:r w:rsidRPr="00483771">
        <w:rPr>
          <w:rFonts w:ascii="Verdana" w:eastAsia="Times New Roman" w:hAnsi="Verdana" w:cs="Times New Roman"/>
          <w:b/>
          <w:bCs/>
          <w:sz w:val="20"/>
          <w:szCs w:val="20"/>
          <w:lang w:eastAsia="ar-SA"/>
        </w:rPr>
        <w:t>in</w:t>
      </w:r>
    </w:p>
    <w:p w:rsidR="00483771" w:rsidRPr="00483771" w:rsidRDefault="00483771" w:rsidP="00483771">
      <w:pPr>
        <w:suppressAutoHyphens/>
        <w:spacing w:after="0" w:line="360" w:lineRule="auto"/>
        <w:ind w:left="567" w:right="851"/>
        <w:jc w:val="center"/>
        <w:rPr>
          <w:rFonts w:ascii="Verdana" w:eastAsia="Times New Roman" w:hAnsi="Verdana" w:cs="Times New Roman"/>
          <w:b/>
          <w:bCs/>
          <w:sz w:val="20"/>
          <w:szCs w:val="20"/>
          <w:lang w:eastAsia="ar-SA"/>
        </w:rPr>
      </w:pPr>
      <w:r w:rsidRPr="00483771">
        <w:rPr>
          <w:rFonts w:ascii="Verdana" w:eastAsia="Times New Roman" w:hAnsi="Verdana" w:cs="Times New Roman"/>
          <w:b/>
          <w:bCs/>
          <w:sz w:val="20"/>
          <w:szCs w:val="20"/>
          <w:lang w:eastAsia="ar-SA"/>
        </w:rPr>
        <w:t xml:space="preserve">Sezione regionale di controllo per </w:t>
      </w:r>
      <w:smartTag w:uri="urn:schemas-microsoft-com:office:smarttags" w:element="PersonName">
        <w:smartTagPr>
          <w:attr w:name="ProductID" w:val="la Puglia"/>
        </w:smartTagPr>
        <w:r w:rsidRPr="00483771">
          <w:rPr>
            <w:rFonts w:ascii="Verdana" w:eastAsia="Times New Roman" w:hAnsi="Verdana" w:cs="Times New Roman"/>
            <w:b/>
            <w:bCs/>
            <w:sz w:val="20"/>
            <w:szCs w:val="20"/>
            <w:lang w:eastAsia="ar-SA"/>
          </w:rPr>
          <w:t>la Puglia</w:t>
        </w:r>
      </w:smartTag>
    </w:p>
    <w:p w:rsidR="00483771" w:rsidRPr="00483771" w:rsidRDefault="00483771" w:rsidP="00483771">
      <w:pPr>
        <w:suppressAutoHyphens/>
        <w:spacing w:after="0" w:line="360" w:lineRule="auto"/>
        <w:ind w:left="567" w:right="-54"/>
        <w:jc w:val="center"/>
        <w:rPr>
          <w:rFonts w:ascii="Verdana" w:eastAsia="Times New Roman" w:hAnsi="Verdana" w:cs="Times New Roman"/>
          <w:b/>
          <w:bCs/>
          <w:sz w:val="20"/>
          <w:szCs w:val="20"/>
          <w:lang w:eastAsia="ar-SA"/>
        </w:rPr>
      </w:pPr>
    </w:p>
    <w:p w:rsidR="00483771" w:rsidRPr="00483771" w:rsidRDefault="00483771" w:rsidP="00483771">
      <w:pPr>
        <w:suppressAutoHyphens/>
        <w:spacing w:after="0" w:line="360" w:lineRule="auto"/>
        <w:ind w:left="567" w:right="851"/>
        <w:jc w:val="center"/>
        <w:rPr>
          <w:rFonts w:ascii="Verdana" w:eastAsia="Times New Roman" w:hAnsi="Verdana" w:cs="Arial"/>
          <w:sz w:val="20"/>
          <w:szCs w:val="20"/>
          <w:lang w:eastAsia="ar-SA"/>
        </w:rPr>
      </w:pPr>
      <w:r w:rsidRPr="00483771">
        <w:rPr>
          <w:rFonts w:ascii="Verdana" w:eastAsia="Times New Roman" w:hAnsi="Verdana" w:cs="Arial"/>
          <w:sz w:val="20"/>
          <w:szCs w:val="20"/>
          <w:lang w:eastAsia="ar-SA"/>
        </w:rPr>
        <w:t xml:space="preserve">Nella camera di consiglio del </w:t>
      </w:r>
      <w:r w:rsidR="00785EC9">
        <w:rPr>
          <w:rFonts w:ascii="Verdana" w:eastAsia="Times New Roman" w:hAnsi="Verdana" w:cs="Arial"/>
          <w:sz w:val="20"/>
          <w:szCs w:val="20"/>
          <w:lang w:eastAsia="ar-SA"/>
        </w:rPr>
        <w:t>30</w:t>
      </w:r>
      <w:r w:rsidR="008E7888">
        <w:rPr>
          <w:rFonts w:ascii="Verdana" w:eastAsia="Times New Roman" w:hAnsi="Verdana" w:cs="Arial"/>
          <w:sz w:val="20"/>
          <w:szCs w:val="20"/>
          <w:lang w:eastAsia="ar-SA"/>
        </w:rPr>
        <w:t xml:space="preserve"> maggio</w:t>
      </w:r>
      <w:r w:rsidRPr="00483771">
        <w:rPr>
          <w:rFonts w:ascii="Verdana" w:eastAsia="Times New Roman" w:hAnsi="Verdana" w:cs="Arial"/>
          <w:sz w:val="20"/>
          <w:szCs w:val="20"/>
          <w:lang w:eastAsia="ar-SA"/>
        </w:rPr>
        <w:t xml:space="preserve"> 2018 composta da:</w:t>
      </w:r>
    </w:p>
    <w:p w:rsidR="00483771" w:rsidRPr="00483771" w:rsidRDefault="00483771" w:rsidP="00483771">
      <w:pPr>
        <w:suppressAutoHyphens/>
        <w:spacing w:after="0" w:line="360" w:lineRule="auto"/>
        <w:ind w:left="567" w:right="851"/>
        <w:jc w:val="both"/>
        <w:rPr>
          <w:rFonts w:ascii="Verdana" w:eastAsia="Times New Roman" w:hAnsi="Verdana" w:cs="Times New Roman"/>
          <w:bCs/>
          <w:sz w:val="20"/>
          <w:szCs w:val="20"/>
          <w:lang w:eastAsia="ar-SA"/>
        </w:rPr>
      </w:pPr>
    </w:p>
    <w:p w:rsidR="00483771" w:rsidRPr="00483771" w:rsidRDefault="00483771" w:rsidP="00483771">
      <w:pPr>
        <w:suppressAutoHyphens/>
        <w:spacing w:after="0" w:line="360" w:lineRule="auto"/>
        <w:ind w:right="851"/>
        <w:jc w:val="both"/>
        <w:rPr>
          <w:rFonts w:ascii="Verdana" w:eastAsia="Times New Roman" w:hAnsi="Verdana" w:cs="Times New Roman"/>
          <w:bCs/>
          <w:sz w:val="20"/>
          <w:szCs w:val="20"/>
          <w:lang w:eastAsia="ar-SA"/>
        </w:rPr>
      </w:pPr>
      <w:r w:rsidRPr="00483771">
        <w:rPr>
          <w:rFonts w:ascii="Verdana" w:eastAsia="Times New Roman" w:hAnsi="Verdana" w:cs="Times New Roman"/>
          <w:bCs/>
          <w:sz w:val="20"/>
          <w:szCs w:val="20"/>
          <w:lang w:eastAsia="ar-SA"/>
        </w:rPr>
        <w:t>Presidente di Sezione</w:t>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t>Agostino Chiappiniello     Presidente</w:t>
      </w:r>
    </w:p>
    <w:p w:rsidR="00483771" w:rsidRPr="00483771" w:rsidRDefault="00483771" w:rsidP="00483771">
      <w:pPr>
        <w:suppressAutoHyphens/>
        <w:spacing w:after="0" w:line="360" w:lineRule="auto"/>
        <w:ind w:right="851"/>
        <w:jc w:val="both"/>
        <w:rPr>
          <w:rFonts w:ascii="Verdana" w:eastAsia="Times New Roman" w:hAnsi="Verdana" w:cs="Times New Roman"/>
          <w:bCs/>
          <w:sz w:val="20"/>
          <w:szCs w:val="20"/>
          <w:lang w:eastAsia="ar-SA"/>
        </w:rPr>
      </w:pPr>
      <w:r w:rsidRPr="00483771">
        <w:rPr>
          <w:rFonts w:ascii="Verdana" w:eastAsia="Times New Roman" w:hAnsi="Verdana" w:cs="Times New Roman"/>
          <w:bCs/>
          <w:sz w:val="20"/>
          <w:szCs w:val="20"/>
          <w:lang w:eastAsia="ar-SA"/>
        </w:rPr>
        <w:t>Consigliere</w:t>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t>Stefania Petrucci</w:t>
      </w:r>
    </w:p>
    <w:p w:rsidR="00483771" w:rsidRPr="00483771" w:rsidRDefault="00483771" w:rsidP="00483771">
      <w:pPr>
        <w:suppressAutoHyphens/>
        <w:spacing w:after="0" w:line="360" w:lineRule="auto"/>
        <w:ind w:right="851"/>
        <w:jc w:val="both"/>
        <w:rPr>
          <w:rFonts w:ascii="Verdana" w:eastAsia="Times New Roman" w:hAnsi="Verdana" w:cs="Times New Roman"/>
          <w:bCs/>
          <w:sz w:val="20"/>
          <w:szCs w:val="20"/>
          <w:lang w:eastAsia="ar-SA"/>
        </w:rPr>
      </w:pPr>
      <w:r w:rsidRPr="00483771">
        <w:rPr>
          <w:rFonts w:ascii="Verdana" w:eastAsia="Times New Roman" w:hAnsi="Verdana" w:cs="Times New Roman"/>
          <w:bCs/>
          <w:sz w:val="20"/>
          <w:szCs w:val="20"/>
          <w:lang w:eastAsia="ar-SA"/>
        </w:rPr>
        <w:t>Consigliere</w:t>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t>Rossana Rummo</w:t>
      </w:r>
    </w:p>
    <w:p w:rsidR="00483771" w:rsidRDefault="00483771" w:rsidP="00483771">
      <w:pPr>
        <w:suppressAutoHyphens/>
        <w:spacing w:after="0" w:line="360" w:lineRule="auto"/>
        <w:ind w:right="851"/>
        <w:jc w:val="both"/>
        <w:rPr>
          <w:rFonts w:ascii="Verdana" w:eastAsia="Times New Roman" w:hAnsi="Verdana" w:cs="Times New Roman"/>
          <w:bCs/>
          <w:sz w:val="20"/>
          <w:szCs w:val="20"/>
          <w:lang w:eastAsia="ar-SA"/>
        </w:rPr>
      </w:pPr>
      <w:r w:rsidRPr="00483771">
        <w:rPr>
          <w:rFonts w:ascii="Verdana" w:eastAsia="Times New Roman" w:hAnsi="Verdana" w:cs="Times New Roman"/>
          <w:bCs/>
          <w:sz w:val="20"/>
          <w:szCs w:val="20"/>
          <w:lang w:eastAsia="ar-SA"/>
        </w:rPr>
        <w:t>Primo Referendario</w:t>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r>
      <w:r w:rsidRPr="00483771">
        <w:rPr>
          <w:rFonts w:ascii="Verdana" w:eastAsia="Times New Roman" w:hAnsi="Verdana" w:cs="Times New Roman"/>
          <w:bCs/>
          <w:sz w:val="20"/>
          <w:szCs w:val="20"/>
          <w:lang w:eastAsia="ar-SA"/>
        </w:rPr>
        <w:tab/>
        <w:t>Rossana De Corato</w:t>
      </w:r>
      <w:r w:rsidRPr="00483771">
        <w:rPr>
          <w:rFonts w:ascii="Verdana" w:eastAsia="Times New Roman" w:hAnsi="Verdana" w:cs="Times New Roman"/>
          <w:bCs/>
          <w:sz w:val="20"/>
          <w:szCs w:val="20"/>
          <w:lang w:eastAsia="ar-SA"/>
        </w:rPr>
        <w:tab/>
      </w:r>
    </w:p>
    <w:p w:rsidR="00785EC9" w:rsidRPr="00483771" w:rsidRDefault="00785EC9" w:rsidP="00483771">
      <w:pPr>
        <w:suppressAutoHyphens/>
        <w:spacing w:after="0" w:line="360" w:lineRule="auto"/>
        <w:ind w:right="851"/>
        <w:jc w:val="both"/>
        <w:rPr>
          <w:rFonts w:ascii="Verdana" w:eastAsia="Times New Roman" w:hAnsi="Verdana" w:cs="Times New Roman"/>
          <w:bCs/>
          <w:sz w:val="20"/>
          <w:szCs w:val="20"/>
          <w:lang w:eastAsia="ar-SA"/>
        </w:rPr>
      </w:pPr>
      <w:r>
        <w:rPr>
          <w:rFonts w:ascii="Verdana" w:eastAsia="Times New Roman" w:hAnsi="Verdana" w:cs="Times New Roman"/>
          <w:bCs/>
          <w:sz w:val="20"/>
          <w:szCs w:val="20"/>
          <w:lang w:eastAsia="ar-SA"/>
        </w:rPr>
        <w:t>Primo Referendario</w:t>
      </w:r>
      <w:r>
        <w:rPr>
          <w:rFonts w:ascii="Verdana" w:eastAsia="Times New Roman" w:hAnsi="Verdana" w:cs="Times New Roman"/>
          <w:bCs/>
          <w:sz w:val="20"/>
          <w:szCs w:val="20"/>
          <w:lang w:eastAsia="ar-SA"/>
        </w:rPr>
        <w:tab/>
      </w:r>
      <w:r>
        <w:rPr>
          <w:rFonts w:ascii="Verdana" w:eastAsia="Times New Roman" w:hAnsi="Verdana" w:cs="Times New Roman"/>
          <w:bCs/>
          <w:sz w:val="20"/>
          <w:szCs w:val="20"/>
          <w:lang w:eastAsia="ar-SA"/>
        </w:rPr>
        <w:tab/>
      </w:r>
      <w:r>
        <w:rPr>
          <w:rFonts w:ascii="Verdana" w:eastAsia="Times New Roman" w:hAnsi="Verdana" w:cs="Times New Roman"/>
          <w:bCs/>
          <w:sz w:val="20"/>
          <w:szCs w:val="20"/>
          <w:lang w:eastAsia="ar-SA"/>
        </w:rPr>
        <w:tab/>
      </w:r>
      <w:r>
        <w:rPr>
          <w:rFonts w:ascii="Verdana" w:eastAsia="Times New Roman" w:hAnsi="Verdana" w:cs="Times New Roman"/>
          <w:bCs/>
          <w:sz w:val="20"/>
          <w:szCs w:val="20"/>
          <w:lang w:eastAsia="ar-SA"/>
        </w:rPr>
        <w:tab/>
        <w:t>Cosmo Sciancalepore</w:t>
      </w:r>
    </w:p>
    <w:p w:rsidR="00483771" w:rsidRPr="00483771" w:rsidRDefault="00483771" w:rsidP="00483771">
      <w:pPr>
        <w:suppressAutoHyphens/>
        <w:spacing w:after="0" w:line="360" w:lineRule="auto"/>
        <w:ind w:right="851"/>
        <w:jc w:val="both"/>
        <w:rPr>
          <w:rFonts w:ascii="Verdana" w:eastAsia="Times New Roman" w:hAnsi="Verdana" w:cs="Times New Roman"/>
          <w:sz w:val="20"/>
          <w:szCs w:val="20"/>
          <w:lang w:eastAsia="ar-SA"/>
        </w:rPr>
      </w:pPr>
      <w:r w:rsidRPr="00483771">
        <w:rPr>
          <w:rFonts w:ascii="Verdana" w:eastAsia="Times New Roman" w:hAnsi="Verdana" w:cs="Times New Roman"/>
          <w:sz w:val="20"/>
          <w:szCs w:val="20"/>
          <w:lang w:eastAsia="ar-SA"/>
        </w:rPr>
        <w:t>Primo Referendario</w:t>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t>Carmelina Addesso</w:t>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t>Relatore</w:t>
      </w:r>
    </w:p>
    <w:p w:rsidR="00483771" w:rsidRPr="00483771" w:rsidRDefault="00483771" w:rsidP="00483771">
      <w:pPr>
        <w:suppressAutoHyphens/>
        <w:spacing w:after="0" w:line="360" w:lineRule="auto"/>
        <w:ind w:right="851"/>
        <w:jc w:val="both"/>
        <w:rPr>
          <w:rFonts w:ascii="Verdana" w:eastAsia="Times New Roman" w:hAnsi="Verdana" w:cs="Times New Roman"/>
          <w:sz w:val="20"/>
          <w:szCs w:val="20"/>
          <w:lang w:eastAsia="ar-SA"/>
        </w:rPr>
      </w:pPr>
      <w:r w:rsidRPr="00483771">
        <w:rPr>
          <w:rFonts w:ascii="Verdana" w:eastAsia="Times New Roman" w:hAnsi="Verdana" w:cs="Times New Roman"/>
          <w:sz w:val="20"/>
          <w:szCs w:val="20"/>
          <w:lang w:eastAsia="ar-SA"/>
        </w:rPr>
        <w:t>Primo Referendario</w:t>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r>
      <w:r w:rsidRPr="00483771">
        <w:rPr>
          <w:rFonts w:ascii="Verdana" w:eastAsia="Times New Roman" w:hAnsi="Verdana" w:cs="Times New Roman"/>
          <w:sz w:val="20"/>
          <w:szCs w:val="20"/>
          <w:lang w:eastAsia="ar-SA"/>
        </w:rPr>
        <w:tab/>
        <w:t>Michela Muti</w:t>
      </w:r>
    </w:p>
    <w:p w:rsidR="00483771" w:rsidRPr="00483771" w:rsidRDefault="00483771" w:rsidP="00483771">
      <w:pPr>
        <w:suppressAutoHyphens/>
        <w:spacing w:after="0" w:line="360" w:lineRule="auto"/>
        <w:ind w:left="567" w:right="851"/>
        <w:jc w:val="both"/>
        <w:rPr>
          <w:rFonts w:ascii="Verdana" w:eastAsia="Times New Roman" w:hAnsi="Verdana" w:cs="Times New Roman"/>
          <w:bCs/>
          <w:sz w:val="20"/>
          <w:szCs w:val="20"/>
          <w:lang w:eastAsia="ar-SA"/>
        </w:rPr>
      </w:pPr>
    </w:p>
    <w:p w:rsidR="00483771" w:rsidRPr="00483771" w:rsidRDefault="00483771" w:rsidP="00483771">
      <w:pPr>
        <w:suppressAutoHyphens/>
        <w:spacing w:after="0" w:line="360" w:lineRule="auto"/>
        <w:ind w:right="851"/>
        <w:jc w:val="both"/>
        <w:rPr>
          <w:rFonts w:ascii="Verdana" w:eastAsia="Times New Roman" w:hAnsi="Verdana" w:cs="Arial"/>
          <w:sz w:val="20"/>
          <w:szCs w:val="20"/>
          <w:lang w:eastAsia="ar-SA"/>
        </w:rPr>
      </w:pPr>
      <w:r w:rsidRPr="00483771">
        <w:rPr>
          <w:rFonts w:ascii="Verdana" w:eastAsia="Times New Roman" w:hAnsi="Verdana" w:cs="Arial"/>
          <w:sz w:val="20"/>
          <w:szCs w:val="20"/>
          <w:lang w:eastAsia="ar-SA"/>
        </w:rPr>
        <w:t>ha assunto la seguente deliberazione</w:t>
      </w:r>
    </w:p>
    <w:p w:rsidR="00483771" w:rsidRPr="00483771" w:rsidRDefault="00483771" w:rsidP="00483771">
      <w:pPr>
        <w:suppressAutoHyphens/>
        <w:spacing w:after="0" w:line="360" w:lineRule="auto"/>
        <w:ind w:right="-54"/>
        <w:jc w:val="both"/>
        <w:rPr>
          <w:rFonts w:ascii="Verdana" w:eastAsia="Times New Roman" w:hAnsi="Verdana" w:cs="Arial"/>
          <w:sz w:val="20"/>
          <w:szCs w:val="20"/>
          <w:lang w:eastAsia="ar-SA"/>
        </w:rPr>
      </w:pPr>
      <w:r w:rsidRPr="00483771">
        <w:rPr>
          <w:rFonts w:ascii="Verdana" w:eastAsia="Times New Roman" w:hAnsi="Verdana" w:cs="Arial"/>
          <w:sz w:val="20"/>
          <w:szCs w:val="20"/>
          <w:lang w:eastAsia="ar-SA"/>
        </w:rPr>
        <w:t xml:space="preserve">sulla richiesta di parere formulata dal Sindaco del Comune di </w:t>
      </w:r>
      <w:r w:rsidR="00785EC9">
        <w:rPr>
          <w:rFonts w:ascii="Verdana" w:eastAsia="Times New Roman" w:hAnsi="Verdana" w:cs="Arial"/>
          <w:sz w:val="20"/>
          <w:szCs w:val="20"/>
          <w:lang w:eastAsia="ar-SA"/>
        </w:rPr>
        <w:t xml:space="preserve">Canosa di Puglia (BAT) </w:t>
      </w:r>
      <w:r w:rsidRPr="00483771">
        <w:rPr>
          <w:rFonts w:ascii="Verdana" w:eastAsia="Times New Roman" w:hAnsi="Verdana" w:cs="Arial"/>
          <w:sz w:val="20"/>
          <w:szCs w:val="20"/>
          <w:lang w:eastAsia="ar-SA"/>
        </w:rPr>
        <w:t xml:space="preserve">trasmessa con nota prot. n. </w:t>
      </w:r>
      <w:r w:rsidR="00785EC9">
        <w:rPr>
          <w:rFonts w:ascii="Verdana" w:eastAsia="Times New Roman" w:hAnsi="Verdana" w:cs="Arial"/>
          <w:sz w:val="20"/>
          <w:szCs w:val="20"/>
          <w:lang w:eastAsia="ar-SA"/>
        </w:rPr>
        <w:t>0019510/2018</w:t>
      </w:r>
      <w:r w:rsidRPr="00483771">
        <w:rPr>
          <w:rFonts w:ascii="Verdana" w:eastAsia="Times New Roman" w:hAnsi="Verdana" w:cs="Arial"/>
          <w:sz w:val="20"/>
          <w:szCs w:val="20"/>
          <w:lang w:eastAsia="ar-SA"/>
        </w:rPr>
        <w:t xml:space="preserve"> ed assunta al protocollo della segreteria della Sezione regionale di controllo della Corte dei cont</w:t>
      </w:r>
      <w:r w:rsidR="006B418A">
        <w:rPr>
          <w:rFonts w:ascii="Verdana" w:eastAsia="Times New Roman" w:hAnsi="Verdana" w:cs="Arial"/>
          <w:sz w:val="20"/>
          <w:szCs w:val="20"/>
          <w:lang w:eastAsia="ar-SA"/>
        </w:rPr>
        <w:t>i per la Puglia con nota prot. n.</w:t>
      </w:r>
      <w:r w:rsidR="00785EC9">
        <w:rPr>
          <w:rFonts w:ascii="Verdana" w:eastAsia="Times New Roman" w:hAnsi="Verdana" w:cs="Arial"/>
          <w:sz w:val="20"/>
          <w:szCs w:val="20"/>
          <w:lang w:eastAsia="ar-SA"/>
        </w:rPr>
        <w:t>1469</w:t>
      </w:r>
      <w:r w:rsidRPr="00483771">
        <w:rPr>
          <w:rFonts w:ascii="Verdana" w:eastAsia="Times New Roman" w:hAnsi="Verdana" w:cs="Arial"/>
          <w:sz w:val="20"/>
          <w:szCs w:val="20"/>
          <w:lang w:eastAsia="ar-SA"/>
        </w:rPr>
        <w:t>-</w:t>
      </w:r>
      <w:r w:rsidR="00785EC9">
        <w:rPr>
          <w:rFonts w:ascii="Verdana" w:eastAsia="Times New Roman" w:hAnsi="Verdana" w:cs="Arial"/>
          <w:sz w:val="20"/>
          <w:szCs w:val="20"/>
          <w:lang w:eastAsia="ar-SA"/>
        </w:rPr>
        <w:t>21/05</w:t>
      </w:r>
      <w:r w:rsidR="00176F08">
        <w:rPr>
          <w:rFonts w:ascii="Verdana" w:eastAsia="Times New Roman" w:hAnsi="Verdana" w:cs="Arial"/>
          <w:sz w:val="20"/>
          <w:szCs w:val="20"/>
          <w:lang w:eastAsia="ar-SA"/>
        </w:rPr>
        <w:t>/2018-SC-PUG-T75-</w:t>
      </w:r>
      <w:r w:rsidR="006B418A">
        <w:rPr>
          <w:rFonts w:ascii="Verdana" w:eastAsia="Times New Roman" w:hAnsi="Verdana" w:cs="Arial"/>
          <w:sz w:val="20"/>
          <w:szCs w:val="20"/>
          <w:lang w:eastAsia="ar-SA"/>
        </w:rPr>
        <w:t>A</w:t>
      </w:r>
      <w:r w:rsidR="00176F08">
        <w:rPr>
          <w:rFonts w:ascii="Verdana" w:eastAsia="Times New Roman" w:hAnsi="Verdana" w:cs="Arial"/>
          <w:sz w:val="20"/>
          <w:szCs w:val="20"/>
          <w:lang w:eastAsia="ar-SA"/>
        </w:rPr>
        <w:t>.</w:t>
      </w:r>
    </w:p>
    <w:p w:rsidR="00483771" w:rsidRPr="00483771" w:rsidRDefault="00483771" w:rsidP="00483771">
      <w:pPr>
        <w:suppressAutoHyphens/>
        <w:spacing w:after="0" w:line="360" w:lineRule="auto"/>
        <w:ind w:right="-54"/>
        <w:jc w:val="both"/>
        <w:rPr>
          <w:rFonts w:ascii="Verdana" w:eastAsia="Times New Roman" w:hAnsi="Verdana" w:cs="Arial"/>
          <w:sz w:val="20"/>
          <w:szCs w:val="20"/>
          <w:lang w:eastAsia="ar-SA"/>
        </w:rPr>
      </w:pPr>
      <w:r w:rsidRPr="00483771">
        <w:rPr>
          <w:rFonts w:ascii="Verdana" w:eastAsia="Times New Roman" w:hAnsi="Verdana" w:cs="Arial"/>
          <w:sz w:val="20"/>
          <w:szCs w:val="20"/>
          <w:lang w:eastAsia="ar-SA"/>
        </w:rPr>
        <w:t>Vista l’ordinanza n</w:t>
      </w:r>
      <w:r w:rsidR="00A365E6">
        <w:rPr>
          <w:rFonts w:ascii="Verdana" w:eastAsia="Times New Roman" w:hAnsi="Verdana" w:cs="Arial"/>
          <w:sz w:val="20"/>
          <w:szCs w:val="20"/>
          <w:lang w:eastAsia="ar-SA"/>
        </w:rPr>
        <w:t xml:space="preserve">. </w:t>
      </w:r>
      <w:r w:rsidR="00067F06">
        <w:rPr>
          <w:rFonts w:ascii="Verdana" w:eastAsia="Times New Roman" w:hAnsi="Verdana" w:cs="Arial"/>
          <w:sz w:val="20"/>
          <w:szCs w:val="20"/>
          <w:lang w:eastAsia="ar-SA"/>
        </w:rPr>
        <w:t>61/2018</w:t>
      </w:r>
      <w:r w:rsidR="00A365E6">
        <w:rPr>
          <w:rFonts w:ascii="Verdana" w:eastAsia="Times New Roman" w:hAnsi="Verdana" w:cs="Arial"/>
          <w:sz w:val="20"/>
          <w:szCs w:val="20"/>
          <w:lang w:eastAsia="ar-SA"/>
        </w:rPr>
        <w:t xml:space="preserve"> con</w:t>
      </w:r>
      <w:r w:rsidRPr="00483771">
        <w:rPr>
          <w:rFonts w:ascii="Verdana" w:eastAsia="Times New Roman" w:hAnsi="Verdana" w:cs="Arial"/>
          <w:sz w:val="20"/>
          <w:szCs w:val="20"/>
          <w:lang w:eastAsia="ar-SA"/>
        </w:rPr>
        <w:t xml:space="preserve"> la quale è stata convocata la Sezione regionale di controllo per il giorno </w:t>
      </w:r>
      <w:r w:rsidR="00785EC9">
        <w:rPr>
          <w:rFonts w:ascii="Verdana" w:eastAsia="Times New Roman" w:hAnsi="Verdana" w:cs="Arial"/>
          <w:sz w:val="20"/>
          <w:szCs w:val="20"/>
          <w:lang w:eastAsia="ar-SA"/>
        </w:rPr>
        <w:t>30</w:t>
      </w:r>
      <w:r w:rsidR="008E7888">
        <w:rPr>
          <w:rFonts w:ascii="Verdana" w:eastAsia="Times New Roman" w:hAnsi="Verdana" w:cs="Arial"/>
          <w:sz w:val="20"/>
          <w:szCs w:val="20"/>
          <w:lang w:eastAsia="ar-SA"/>
        </w:rPr>
        <w:t xml:space="preserve"> maggio 2018</w:t>
      </w:r>
      <w:r w:rsidRPr="00483771">
        <w:rPr>
          <w:rFonts w:ascii="Verdana" w:eastAsia="Times New Roman" w:hAnsi="Verdana" w:cs="Arial"/>
          <w:sz w:val="20"/>
          <w:szCs w:val="20"/>
          <w:lang w:eastAsia="ar-SA"/>
        </w:rPr>
        <w:t>;</w:t>
      </w:r>
    </w:p>
    <w:p w:rsidR="00483771" w:rsidRPr="00483771" w:rsidRDefault="00483771" w:rsidP="00483771">
      <w:pPr>
        <w:suppressAutoHyphens/>
        <w:spacing w:after="0" w:line="360" w:lineRule="auto"/>
        <w:ind w:right="-54"/>
        <w:jc w:val="both"/>
        <w:rPr>
          <w:rFonts w:ascii="Verdana" w:eastAsia="Batang" w:hAnsi="Verdana" w:cs="Arial"/>
          <w:sz w:val="20"/>
          <w:szCs w:val="20"/>
          <w:lang w:eastAsia="ar-SA"/>
        </w:rPr>
      </w:pPr>
      <w:r w:rsidRPr="00483771">
        <w:rPr>
          <w:rFonts w:ascii="Verdana" w:eastAsia="Batang" w:hAnsi="Verdana" w:cs="Arial"/>
          <w:sz w:val="20"/>
          <w:szCs w:val="20"/>
          <w:lang w:eastAsia="ar-SA"/>
        </w:rPr>
        <w:t>udito il relat</w:t>
      </w:r>
      <w:r w:rsidR="00176F08">
        <w:rPr>
          <w:rFonts w:ascii="Verdana" w:eastAsia="Batang" w:hAnsi="Verdana" w:cs="Arial"/>
          <w:sz w:val="20"/>
          <w:szCs w:val="20"/>
          <w:lang w:eastAsia="ar-SA"/>
        </w:rPr>
        <w:t>ore, dott.ssa Carmelina Addesso;</w:t>
      </w:r>
    </w:p>
    <w:p w:rsidR="00483771" w:rsidRPr="00483771" w:rsidRDefault="00483771" w:rsidP="00483771">
      <w:pPr>
        <w:suppressAutoHyphens/>
        <w:spacing w:after="0" w:line="360" w:lineRule="auto"/>
        <w:ind w:right="-54"/>
        <w:jc w:val="both"/>
        <w:rPr>
          <w:rFonts w:ascii="Verdana" w:eastAsia="Batang" w:hAnsi="Verdana" w:cs="Arial"/>
          <w:sz w:val="20"/>
          <w:szCs w:val="20"/>
          <w:lang w:eastAsia="ar-SA"/>
        </w:rPr>
      </w:pPr>
      <w:r w:rsidRPr="00483771">
        <w:rPr>
          <w:rFonts w:ascii="Verdana" w:eastAsia="Batang" w:hAnsi="Verdana" w:cs="Arial"/>
          <w:sz w:val="20"/>
          <w:szCs w:val="20"/>
          <w:lang w:eastAsia="ar-SA"/>
        </w:rPr>
        <w:t>Ritenuto in</w:t>
      </w:r>
    </w:p>
    <w:p w:rsidR="00483771" w:rsidRPr="00483771" w:rsidRDefault="00483771" w:rsidP="00483771">
      <w:pPr>
        <w:suppressAutoHyphens/>
        <w:spacing w:after="0" w:line="360" w:lineRule="auto"/>
        <w:ind w:left="567" w:right="-54"/>
        <w:jc w:val="center"/>
        <w:rPr>
          <w:rFonts w:ascii="Verdana" w:eastAsia="Times New Roman" w:hAnsi="Verdana" w:cs="Arial"/>
          <w:sz w:val="20"/>
          <w:szCs w:val="20"/>
          <w:lang w:eastAsia="ar-SA"/>
        </w:rPr>
      </w:pPr>
      <w:r w:rsidRPr="00483771">
        <w:rPr>
          <w:rFonts w:ascii="Verdana" w:eastAsia="Times New Roman" w:hAnsi="Verdana" w:cs="Arial"/>
          <w:sz w:val="20"/>
          <w:szCs w:val="20"/>
          <w:lang w:eastAsia="ar-SA"/>
        </w:rPr>
        <w:t>FATTO</w:t>
      </w:r>
    </w:p>
    <w:p w:rsidR="008E7888" w:rsidRDefault="00483771" w:rsidP="008E7888">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sidRPr="00483771">
        <w:rPr>
          <w:rFonts w:ascii="Verdana" w:eastAsia="Times New Roman" w:hAnsi="Verdana" w:cs="Times New Roman"/>
          <w:sz w:val="20"/>
          <w:szCs w:val="20"/>
          <w:lang w:eastAsia="ar-SA"/>
        </w:rPr>
        <w:t xml:space="preserve">Il Sindaco del Comune di </w:t>
      </w:r>
      <w:r w:rsidR="00785EC9">
        <w:rPr>
          <w:rFonts w:ascii="Verdana" w:eastAsia="Times New Roman" w:hAnsi="Verdana" w:cs="Times New Roman"/>
          <w:sz w:val="20"/>
          <w:szCs w:val="20"/>
          <w:lang w:eastAsia="ar-SA"/>
        </w:rPr>
        <w:t>Canosa di Puglia</w:t>
      </w:r>
      <w:r w:rsidR="008E7888">
        <w:rPr>
          <w:rFonts w:ascii="Verdana" w:eastAsia="Times New Roman" w:hAnsi="Verdana" w:cs="Times New Roman"/>
          <w:sz w:val="20"/>
          <w:szCs w:val="20"/>
          <w:lang w:eastAsia="ar-SA"/>
        </w:rPr>
        <w:t xml:space="preserve"> chiede alla Sezione un parere in merito </w:t>
      </w:r>
      <w:r w:rsidR="00785EC9">
        <w:rPr>
          <w:rFonts w:ascii="Verdana" w:eastAsia="Times New Roman" w:hAnsi="Verdana" w:cs="Times New Roman"/>
          <w:sz w:val="20"/>
          <w:szCs w:val="20"/>
          <w:lang w:eastAsia="ar-SA"/>
        </w:rPr>
        <w:t xml:space="preserve">alle modalità di contabilizzazione </w:t>
      </w:r>
      <w:r w:rsidR="001C25F7">
        <w:rPr>
          <w:rFonts w:ascii="Verdana" w:eastAsia="Times New Roman" w:hAnsi="Verdana" w:cs="Times New Roman"/>
          <w:sz w:val="20"/>
          <w:szCs w:val="20"/>
          <w:lang w:eastAsia="ar-SA"/>
        </w:rPr>
        <w:t xml:space="preserve">di </w:t>
      </w:r>
      <w:r w:rsidR="00785EC9">
        <w:rPr>
          <w:rFonts w:ascii="Verdana" w:eastAsia="Times New Roman" w:hAnsi="Verdana" w:cs="Times New Roman"/>
          <w:sz w:val="20"/>
          <w:szCs w:val="20"/>
          <w:lang w:eastAsia="ar-SA"/>
        </w:rPr>
        <w:t>un contratto di leasing in costruendo per l’</w:t>
      </w:r>
      <w:r w:rsidR="00A55766">
        <w:rPr>
          <w:rFonts w:ascii="Verdana" w:eastAsia="Times New Roman" w:hAnsi="Verdana" w:cs="Times New Roman"/>
          <w:sz w:val="20"/>
          <w:szCs w:val="20"/>
          <w:lang w:eastAsia="ar-SA"/>
        </w:rPr>
        <w:t>ampliamento di una</w:t>
      </w:r>
      <w:r w:rsidR="00785EC9">
        <w:rPr>
          <w:rFonts w:ascii="Verdana" w:eastAsia="Times New Roman" w:hAnsi="Verdana" w:cs="Times New Roman"/>
          <w:sz w:val="20"/>
          <w:szCs w:val="20"/>
          <w:lang w:eastAsia="ar-SA"/>
        </w:rPr>
        <w:t xml:space="preserve"> scuola polivalente.</w:t>
      </w:r>
    </w:p>
    <w:p w:rsidR="008E7888" w:rsidRDefault="008E7888" w:rsidP="008E7888">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Il Sindaco precisa che:</w:t>
      </w:r>
    </w:p>
    <w:p w:rsidR="008E7888" w:rsidRDefault="008E7888" w:rsidP="00785EC9">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w:t>
      </w:r>
      <w:r w:rsidR="00785EC9" w:rsidRPr="00785EC9">
        <w:rPr>
          <w:rFonts w:ascii="Times New Roman" w:eastAsia="Times New Roman" w:hAnsi="Times New Roman" w:cs="Times New Roman"/>
          <w:color w:val="000000"/>
          <w:spacing w:val="4"/>
        </w:rPr>
        <w:t xml:space="preserve"> </w:t>
      </w:r>
      <w:r w:rsidR="00785EC9">
        <w:rPr>
          <w:rFonts w:ascii="Verdana" w:eastAsia="Times New Roman" w:hAnsi="Verdana" w:cs="Times New Roman"/>
          <w:sz w:val="20"/>
          <w:szCs w:val="20"/>
          <w:lang w:eastAsia="ar-SA"/>
        </w:rPr>
        <w:t>i</w:t>
      </w:r>
      <w:r w:rsidR="00785EC9" w:rsidRPr="00785EC9">
        <w:rPr>
          <w:rFonts w:ascii="Verdana" w:eastAsia="Times New Roman" w:hAnsi="Verdana" w:cs="Times New Roman"/>
          <w:sz w:val="20"/>
          <w:szCs w:val="20"/>
          <w:lang w:eastAsia="ar-SA"/>
        </w:rPr>
        <w:t>l Comune di Canosa di Puglia intende realizzare l'ampliamento della scuola polivalente in zona 167, mediante un contratto di leasing in costruendo che preved</w:t>
      </w:r>
      <w:r w:rsidR="006B418A">
        <w:rPr>
          <w:rFonts w:ascii="Verdana" w:eastAsia="Times New Roman" w:hAnsi="Verdana" w:cs="Times New Roman"/>
          <w:sz w:val="20"/>
          <w:szCs w:val="20"/>
          <w:lang w:eastAsia="ar-SA"/>
        </w:rPr>
        <w:t>e</w:t>
      </w:r>
      <w:r w:rsidR="00785EC9" w:rsidRPr="00785EC9">
        <w:rPr>
          <w:rFonts w:ascii="Verdana" w:eastAsia="Times New Roman" w:hAnsi="Verdana" w:cs="Times New Roman"/>
          <w:sz w:val="20"/>
          <w:szCs w:val="20"/>
          <w:lang w:eastAsia="ar-SA"/>
        </w:rPr>
        <w:t xml:space="preserve"> l'acquisizione del progetto definitivo, dell'appalto misto dì lavori e servizi per la progettazione esecutiva, nonch</w:t>
      </w:r>
      <w:r w:rsidR="00785EC9">
        <w:rPr>
          <w:rFonts w:ascii="Verdana" w:eastAsia="Times New Roman" w:hAnsi="Verdana" w:cs="Times New Roman"/>
          <w:sz w:val="20"/>
          <w:szCs w:val="20"/>
          <w:lang w:eastAsia="ar-SA"/>
        </w:rPr>
        <w:t>é</w:t>
      </w:r>
      <w:r w:rsidR="00785EC9" w:rsidRPr="00785EC9">
        <w:rPr>
          <w:rFonts w:ascii="Verdana" w:eastAsia="Times New Roman" w:hAnsi="Verdana" w:cs="Times New Roman"/>
          <w:sz w:val="20"/>
          <w:szCs w:val="20"/>
          <w:lang w:eastAsia="ar-SA"/>
        </w:rPr>
        <w:t xml:space="preserve"> d</w:t>
      </w:r>
      <w:r w:rsidR="00785EC9">
        <w:rPr>
          <w:rFonts w:ascii="Verdana" w:eastAsia="Times New Roman" w:hAnsi="Verdana" w:cs="Times New Roman"/>
          <w:sz w:val="20"/>
          <w:szCs w:val="20"/>
          <w:lang w:eastAsia="ar-SA"/>
        </w:rPr>
        <w:t>ella realizzazione dell'opera;</w:t>
      </w:r>
    </w:p>
    <w:p w:rsidR="00D050AC" w:rsidRDefault="008E7888" w:rsidP="00785EC9">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lastRenderedPageBreak/>
        <w:t>-</w:t>
      </w:r>
      <w:r w:rsidR="00785EC9" w:rsidRPr="00785EC9">
        <w:t xml:space="preserve"> </w:t>
      </w:r>
      <w:r w:rsidR="00785EC9">
        <w:rPr>
          <w:rFonts w:ascii="Verdana" w:eastAsia="Times New Roman" w:hAnsi="Verdana" w:cs="Times New Roman"/>
          <w:sz w:val="20"/>
          <w:szCs w:val="20"/>
          <w:lang w:eastAsia="ar-SA"/>
        </w:rPr>
        <w:t>l</w:t>
      </w:r>
      <w:r w:rsidR="00785EC9" w:rsidRPr="00785EC9">
        <w:rPr>
          <w:rFonts w:ascii="Verdana" w:eastAsia="Times New Roman" w:hAnsi="Verdana" w:cs="Times New Roman"/>
          <w:sz w:val="20"/>
          <w:szCs w:val="20"/>
          <w:lang w:eastAsia="ar-SA"/>
        </w:rPr>
        <w:t xml:space="preserve">'aggiudicatario provvederà al pagamento </w:t>
      </w:r>
      <w:r w:rsidR="00785EC9">
        <w:rPr>
          <w:rFonts w:ascii="Verdana" w:eastAsia="Times New Roman" w:hAnsi="Verdana" w:cs="Times New Roman"/>
          <w:sz w:val="20"/>
          <w:szCs w:val="20"/>
          <w:lang w:eastAsia="ar-SA"/>
        </w:rPr>
        <w:t>in favore dell'Amministrazione c</w:t>
      </w:r>
      <w:r w:rsidR="00785EC9" w:rsidRPr="00785EC9">
        <w:rPr>
          <w:rFonts w:ascii="Verdana" w:eastAsia="Times New Roman" w:hAnsi="Verdana" w:cs="Times New Roman"/>
          <w:sz w:val="20"/>
          <w:szCs w:val="20"/>
          <w:lang w:eastAsia="ar-SA"/>
        </w:rPr>
        <w:t xml:space="preserve">omunale </w:t>
      </w:r>
      <w:r w:rsidR="00785EC9">
        <w:rPr>
          <w:rFonts w:ascii="Verdana" w:eastAsia="Times New Roman" w:hAnsi="Verdana" w:cs="Times New Roman"/>
          <w:sz w:val="20"/>
          <w:szCs w:val="20"/>
          <w:lang w:eastAsia="ar-SA"/>
        </w:rPr>
        <w:t>del</w:t>
      </w:r>
      <w:r w:rsidR="00785EC9" w:rsidRPr="00785EC9">
        <w:rPr>
          <w:rFonts w:ascii="Verdana" w:eastAsia="Times New Roman" w:hAnsi="Verdana" w:cs="Times New Roman"/>
          <w:sz w:val="20"/>
          <w:szCs w:val="20"/>
          <w:lang w:eastAsia="ar-SA"/>
        </w:rPr>
        <w:t>l'importo relativo al diritto di superficie all'atto della sottoscrizione del contratto d'appalt</w:t>
      </w:r>
      <w:r w:rsidR="00785EC9">
        <w:rPr>
          <w:rFonts w:ascii="Verdana" w:eastAsia="Times New Roman" w:hAnsi="Verdana" w:cs="Times New Roman"/>
          <w:sz w:val="20"/>
          <w:szCs w:val="20"/>
          <w:lang w:eastAsia="ar-SA"/>
        </w:rPr>
        <w:t>o che dovrà avvenire contestualm</w:t>
      </w:r>
      <w:r w:rsidR="00785EC9" w:rsidRPr="00785EC9">
        <w:rPr>
          <w:rFonts w:ascii="Verdana" w:eastAsia="Times New Roman" w:hAnsi="Verdana" w:cs="Times New Roman"/>
          <w:sz w:val="20"/>
          <w:szCs w:val="20"/>
          <w:lang w:eastAsia="ar-SA"/>
        </w:rPr>
        <w:t>ente</w:t>
      </w:r>
      <w:r w:rsidR="00785EC9">
        <w:rPr>
          <w:rFonts w:ascii="Verdana" w:eastAsia="Times New Roman" w:hAnsi="Verdana" w:cs="Times New Roman"/>
          <w:sz w:val="20"/>
          <w:szCs w:val="20"/>
          <w:lang w:eastAsia="ar-SA"/>
        </w:rPr>
        <w:t xml:space="preserve"> alla sottoscrizione dell'atto </w:t>
      </w:r>
      <w:r w:rsidR="00785EC9" w:rsidRPr="00785EC9">
        <w:rPr>
          <w:rFonts w:ascii="Verdana" w:eastAsia="Times New Roman" w:hAnsi="Verdana" w:cs="Times New Roman"/>
          <w:sz w:val="20"/>
          <w:szCs w:val="20"/>
          <w:lang w:eastAsia="ar-SA"/>
        </w:rPr>
        <w:t>di cessione del diritto di superficie. Al momento della consegna</w:t>
      </w:r>
      <w:r w:rsidR="00CB2059">
        <w:rPr>
          <w:rFonts w:ascii="Verdana" w:eastAsia="Times New Roman" w:hAnsi="Verdana" w:cs="Times New Roman"/>
          <w:sz w:val="20"/>
          <w:szCs w:val="20"/>
          <w:lang w:eastAsia="ar-SA"/>
        </w:rPr>
        <w:t>,</w:t>
      </w:r>
      <w:r w:rsidR="00785EC9" w:rsidRPr="00785EC9">
        <w:rPr>
          <w:rFonts w:ascii="Verdana" w:eastAsia="Times New Roman" w:hAnsi="Verdana" w:cs="Times New Roman"/>
          <w:sz w:val="20"/>
          <w:szCs w:val="20"/>
          <w:lang w:eastAsia="ar-SA"/>
        </w:rPr>
        <w:t xml:space="preserve"> l'aggiudicatario provvederà alla rideterminazione del corrispettivo della locazione finanziaria</w:t>
      </w:r>
      <w:r w:rsidR="00785EC9">
        <w:rPr>
          <w:rFonts w:ascii="Verdana" w:eastAsia="Times New Roman" w:hAnsi="Verdana" w:cs="Times New Roman"/>
          <w:sz w:val="20"/>
          <w:szCs w:val="20"/>
          <w:lang w:eastAsia="ar-SA"/>
        </w:rPr>
        <w:t xml:space="preserve">, </w:t>
      </w:r>
      <w:r w:rsidR="00785EC9" w:rsidRPr="00785EC9">
        <w:rPr>
          <w:rFonts w:ascii="Verdana" w:eastAsia="Times New Roman" w:hAnsi="Verdana" w:cs="Times New Roman"/>
          <w:sz w:val="20"/>
          <w:szCs w:val="20"/>
          <w:lang w:eastAsia="ar-SA"/>
        </w:rPr>
        <w:t xml:space="preserve">tenendo conto dei costi definitivi ed effettivi di realizzazione, inclusi quelli riguardanti </w:t>
      </w:r>
      <w:r w:rsidR="00A55766">
        <w:rPr>
          <w:rFonts w:ascii="Verdana" w:eastAsia="Times New Roman" w:hAnsi="Verdana" w:cs="Times New Roman"/>
          <w:sz w:val="20"/>
          <w:szCs w:val="20"/>
          <w:lang w:eastAsia="ar-SA"/>
        </w:rPr>
        <w:t>eventuali varianti in corso d'</w:t>
      </w:r>
      <w:r w:rsidR="00785EC9">
        <w:rPr>
          <w:rFonts w:ascii="Verdana" w:eastAsia="Times New Roman" w:hAnsi="Verdana" w:cs="Times New Roman"/>
          <w:sz w:val="20"/>
          <w:szCs w:val="20"/>
          <w:lang w:eastAsia="ar-SA"/>
        </w:rPr>
        <w:t>opera</w:t>
      </w:r>
      <w:r w:rsidR="00D050AC">
        <w:rPr>
          <w:rFonts w:ascii="Verdana" w:eastAsia="Times New Roman" w:hAnsi="Verdana" w:cs="Times New Roman"/>
          <w:sz w:val="20"/>
          <w:szCs w:val="20"/>
          <w:lang w:eastAsia="ar-SA"/>
        </w:rPr>
        <w:t>;</w:t>
      </w:r>
    </w:p>
    <w:p w:rsidR="00D050AC" w:rsidRDefault="00D050AC" w:rsidP="008E7888">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w:t>
      </w:r>
      <w:r w:rsidR="00785EC9">
        <w:t>a</w:t>
      </w:r>
      <w:r w:rsidR="00785EC9" w:rsidRPr="00785EC9">
        <w:rPr>
          <w:rFonts w:ascii="Verdana" w:eastAsia="Times New Roman" w:hAnsi="Verdana" w:cs="Times New Roman"/>
          <w:sz w:val="20"/>
          <w:szCs w:val="20"/>
          <w:lang w:eastAsia="ar-SA"/>
        </w:rPr>
        <w:t xml:space="preserve">l momento del pagamento </w:t>
      </w:r>
      <w:r w:rsidR="00CB2059">
        <w:rPr>
          <w:rFonts w:ascii="Verdana" w:eastAsia="Times New Roman" w:hAnsi="Verdana" w:cs="Times New Roman"/>
          <w:sz w:val="20"/>
          <w:szCs w:val="20"/>
          <w:lang w:eastAsia="ar-SA"/>
        </w:rPr>
        <w:t>del</w:t>
      </w:r>
      <w:r w:rsidR="00785EC9" w:rsidRPr="00785EC9">
        <w:rPr>
          <w:rFonts w:ascii="Verdana" w:eastAsia="Times New Roman" w:hAnsi="Verdana" w:cs="Times New Roman"/>
          <w:sz w:val="20"/>
          <w:szCs w:val="20"/>
          <w:lang w:eastAsia="ar-SA"/>
        </w:rPr>
        <w:t xml:space="preserve"> prezzo pattuito per l'opzione finale di acquisto da parte del Comune, vi sarà il passaggio definitivo a quest'ultimo della proprietà dell'opera </w:t>
      </w:r>
      <w:r w:rsidR="00785EC9">
        <w:rPr>
          <w:rFonts w:ascii="Verdana" w:eastAsia="Times New Roman" w:hAnsi="Verdana" w:cs="Times New Roman"/>
          <w:sz w:val="20"/>
          <w:szCs w:val="20"/>
          <w:lang w:eastAsia="ar-SA"/>
        </w:rPr>
        <w:t>realizzata</w:t>
      </w:r>
      <w:r w:rsidR="00785EC9" w:rsidRPr="00785EC9">
        <w:rPr>
          <w:rFonts w:ascii="Verdana" w:eastAsia="Times New Roman" w:hAnsi="Verdana" w:cs="Times New Roman"/>
          <w:sz w:val="20"/>
          <w:szCs w:val="20"/>
          <w:lang w:eastAsia="ar-SA"/>
        </w:rPr>
        <w:t xml:space="preserve"> e si estinguerà automaticamente il diritto di superficie in capo alla società </w:t>
      </w:r>
      <w:r w:rsidR="00785EC9">
        <w:rPr>
          <w:rFonts w:ascii="Verdana" w:eastAsia="Times New Roman" w:hAnsi="Verdana" w:cs="Times New Roman"/>
          <w:sz w:val="20"/>
          <w:szCs w:val="20"/>
          <w:lang w:eastAsia="ar-SA"/>
        </w:rPr>
        <w:t>d</w:t>
      </w:r>
      <w:r w:rsidR="00785EC9" w:rsidRPr="00785EC9">
        <w:rPr>
          <w:rFonts w:ascii="Verdana" w:eastAsia="Times New Roman" w:hAnsi="Verdana" w:cs="Times New Roman"/>
          <w:sz w:val="20"/>
          <w:szCs w:val="20"/>
          <w:lang w:eastAsia="ar-SA"/>
        </w:rPr>
        <w:t>i leasing;</w:t>
      </w:r>
    </w:p>
    <w:p w:rsidR="00066422" w:rsidRDefault="00066422" w:rsidP="008E7888">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w:t>
      </w:r>
      <w:r w:rsidRPr="00066422">
        <w:t xml:space="preserve"> </w:t>
      </w:r>
      <w:r w:rsidRPr="00066422">
        <w:rPr>
          <w:rFonts w:ascii="Verdana" w:eastAsia="Times New Roman" w:hAnsi="Verdana" w:cs="Times New Roman"/>
          <w:sz w:val="20"/>
          <w:szCs w:val="20"/>
          <w:lang w:eastAsia="ar-SA"/>
        </w:rPr>
        <w:t>l'opera</w:t>
      </w:r>
      <w:r w:rsidR="00CB2059">
        <w:rPr>
          <w:rFonts w:ascii="Verdana" w:eastAsia="Times New Roman" w:hAnsi="Verdana" w:cs="Times New Roman"/>
          <w:sz w:val="20"/>
          <w:szCs w:val="20"/>
          <w:lang w:eastAsia="ar-SA"/>
        </w:rPr>
        <w:t>,</w:t>
      </w:r>
      <w:r w:rsidRPr="00066422">
        <w:rPr>
          <w:rFonts w:ascii="Verdana" w:eastAsia="Times New Roman" w:hAnsi="Verdana" w:cs="Times New Roman"/>
          <w:sz w:val="20"/>
          <w:szCs w:val="20"/>
          <w:lang w:eastAsia="ar-SA"/>
        </w:rPr>
        <w:t xml:space="preserve"> u</w:t>
      </w:r>
      <w:r w:rsidR="00A55766">
        <w:rPr>
          <w:rFonts w:ascii="Verdana" w:eastAsia="Times New Roman" w:hAnsi="Verdana" w:cs="Times New Roman"/>
          <w:sz w:val="20"/>
          <w:szCs w:val="20"/>
          <w:lang w:eastAsia="ar-SA"/>
        </w:rPr>
        <w:t>na volta realizzata dal soggetto</w:t>
      </w:r>
      <w:r w:rsidRPr="00066422">
        <w:rPr>
          <w:rFonts w:ascii="Verdana" w:eastAsia="Times New Roman" w:hAnsi="Verdana" w:cs="Times New Roman"/>
          <w:sz w:val="20"/>
          <w:szCs w:val="20"/>
          <w:lang w:eastAsia="ar-SA"/>
        </w:rPr>
        <w:t xml:space="preserve"> aggiudicatario, verrà concessa in locazione al Comune di</w:t>
      </w:r>
      <w:r w:rsidR="00CB2059">
        <w:rPr>
          <w:rFonts w:ascii="Verdana" w:eastAsia="Times New Roman" w:hAnsi="Verdana" w:cs="Times New Roman"/>
          <w:sz w:val="20"/>
          <w:szCs w:val="20"/>
          <w:lang w:eastAsia="ar-SA"/>
        </w:rPr>
        <w:t xml:space="preserve">etro pagamento di n. 40 canoni </w:t>
      </w:r>
      <w:r w:rsidRPr="00066422">
        <w:rPr>
          <w:rFonts w:ascii="Verdana" w:eastAsia="Times New Roman" w:hAnsi="Verdana" w:cs="Times New Roman"/>
          <w:sz w:val="20"/>
          <w:szCs w:val="20"/>
          <w:lang w:eastAsia="ar-SA"/>
        </w:rPr>
        <w:t xml:space="preserve">mensili costanti posticipati, </w:t>
      </w:r>
      <w:r w:rsidR="00CB2059">
        <w:rPr>
          <w:rFonts w:ascii="Verdana" w:eastAsia="Times New Roman" w:hAnsi="Verdana" w:cs="Times New Roman"/>
          <w:sz w:val="20"/>
          <w:szCs w:val="20"/>
          <w:lang w:eastAsia="ar-SA"/>
        </w:rPr>
        <w:t>mentre il prezzo del</w:t>
      </w:r>
      <w:r>
        <w:rPr>
          <w:rFonts w:ascii="Verdana" w:eastAsia="Times New Roman" w:hAnsi="Verdana" w:cs="Times New Roman"/>
          <w:sz w:val="20"/>
          <w:szCs w:val="20"/>
          <w:lang w:eastAsia="ar-SA"/>
        </w:rPr>
        <w:t xml:space="preserve"> riscatto finale </w:t>
      </w:r>
      <w:r w:rsidR="00CB2059">
        <w:rPr>
          <w:rFonts w:ascii="Verdana" w:eastAsia="Times New Roman" w:hAnsi="Verdana" w:cs="Times New Roman"/>
          <w:sz w:val="20"/>
          <w:szCs w:val="20"/>
          <w:lang w:eastAsia="ar-SA"/>
        </w:rPr>
        <w:t xml:space="preserve">è </w:t>
      </w:r>
      <w:r>
        <w:rPr>
          <w:rFonts w:ascii="Verdana" w:eastAsia="Times New Roman" w:hAnsi="Verdana" w:cs="Times New Roman"/>
          <w:sz w:val="20"/>
          <w:szCs w:val="20"/>
          <w:lang w:eastAsia="ar-SA"/>
        </w:rPr>
        <w:t>pari all'1</w:t>
      </w:r>
      <w:r w:rsidRPr="00066422">
        <w:rPr>
          <w:rFonts w:ascii="Verdana" w:eastAsia="Times New Roman" w:hAnsi="Verdana" w:cs="Times New Roman"/>
          <w:sz w:val="20"/>
          <w:szCs w:val="20"/>
          <w:lang w:eastAsia="ar-SA"/>
        </w:rPr>
        <w:t>% dell'importo finanziato. Il contratto di locazione avrà la durata di anni 20 a decorrere dalla data di consegna dell'opera ultimata e dichiarata agibile;</w:t>
      </w:r>
    </w:p>
    <w:p w:rsidR="00AA5AF3" w:rsidRDefault="00AA5AF3" w:rsidP="008E7888">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w:t>
      </w:r>
      <w:r w:rsidRPr="00AA5AF3">
        <w:t xml:space="preserve"> </w:t>
      </w:r>
      <w:r w:rsidRPr="00AA5AF3">
        <w:rPr>
          <w:rFonts w:ascii="Verdana" w:eastAsia="Times New Roman" w:hAnsi="Verdana" w:cs="Times New Roman"/>
          <w:sz w:val="20"/>
          <w:szCs w:val="20"/>
          <w:lang w:eastAsia="ar-SA"/>
        </w:rPr>
        <w:t>il rischio per la realizzazione dell'opera è assunto a totale carico dell'operatore economico privato;</w:t>
      </w:r>
    </w:p>
    <w:p w:rsidR="008E7888" w:rsidRPr="008E7888" w:rsidRDefault="00AA5AF3" w:rsidP="008E7888">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after="0" w:line="36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Premesso quanto sopra, si chiede un parere in merito “</w:t>
      </w:r>
      <w:r w:rsidRPr="00AA5AF3">
        <w:rPr>
          <w:rFonts w:ascii="Verdana" w:eastAsia="Times New Roman" w:hAnsi="Verdana" w:cs="Times New Roman"/>
          <w:i/>
          <w:sz w:val="20"/>
          <w:szCs w:val="20"/>
          <w:lang w:eastAsia="ar-SA"/>
        </w:rPr>
        <w:t>alla corretta contabilizzazione del leasing in costruendo dell'opera suddetta, precisando</w:t>
      </w:r>
      <w:r w:rsidR="00A55766">
        <w:rPr>
          <w:rFonts w:ascii="Verdana" w:eastAsia="Times New Roman" w:hAnsi="Verdana" w:cs="Times New Roman"/>
          <w:i/>
          <w:sz w:val="20"/>
          <w:szCs w:val="20"/>
          <w:lang w:eastAsia="ar-SA"/>
        </w:rPr>
        <w:t xml:space="preserve"> </w:t>
      </w:r>
      <w:r w:rsidR="008A5F0C">
        <w:rPr>
          <w:rFonts w:ascii="Verdana" w:eastAsia="Times New Roman" w:hAnsi="Verdana" w:cs="Times New Roman"/>
          <w:i/>
          <w:sz w:val="20"/>
          <w:szCs w:val="20"/>
          <w:lang w:eastAsia="ar-SA"/>
        </w:rPr>
        <w:t>che</w:t>
      </w:r>
      <w:r w:rsidRPr="00AA5AF3">
        <w:rPr>
          <w:rFonts w:ascii="Verdana" w:eastAsia="Times New Roman" w:hAnsi="Verdana" w:cs="Times New Roman"/>
          <w:i/>
          <w:sz w:val="20"/>
          <w:szCs w:val="20"/>
          <w:lang w:eastAsia="ar-SA"/>
        </w:rPr>
        <w:t xml:space="preserve"> le registrazioni </w:t>
      </w:r>
      <w:r w:rsidR="00A55766">
        <w:rPr>
          <w:rFonts w:ascii="Verdana" w:eastAsia="Times New Roman" w:hAnsi="Verdana" w:cs="Times New Roman"/>
          <w:i/>
          <w:sz w:val="20"/>
          <w:szCs w:val="20"/>
          <w:lang w:eastAsia="ar-SA"/>
        </w:rPr>
        <w:t>del</w:t>
      </w:r>
      <w:r w:rsidR="008A5F0C">
        <w:rPr>
          <w:rFonts w:ascii="Verdana" w:eastAsia="Times New Roman" w:hAnsi="Verdana" w:cs="Times New Roman"/>
          <w:i/>
          <w:sz w:val="20"/>
          <w:szCs w:val="20"/>
          <w:lang w:eastAsia="ar-SA"/>
        </w:rPr>
        <w:t>le</w:t>
      </w:r>
      <w:r w:rsidRPr="00AA5AF3">
        <w:rPr>
          <w:rFonts w:ascii="Verdana" w:eastAsia="Times New Roman" w:hAnsi="Verdana" w:cs="Times New Roman"/>
          <w:i/>
          <w:sz w:val="20"/>
          <w:szCs w:val="20"/>
          <w:lang w:eastAsia="ar-SA"/>
        </w:rPr>
        <w:t xml:space="preserve"> scritture contabili per il pagamento del canone </w:t>
      </w:r>
      <w:r w:rsidR="00A51027">
        <w:rPr>
          <w:rFonts w:ascii="Verdana" w:eastAsia="Times New Roman" w:hAnsi="Verdana" w:cs="Times New Roman"/>
          <w:i/>
          <w:sz w:val="20"/>
          <w:szCs w:val="20"/>
          <w:lang w:eastAsia="ar-SA"/>
        </w:rPr>
        <w:t>avverranno al "Titolo Primo Spe</w:t>
      </w:r>
      <w:r w:rsidRPr="00AA5AF3">
        <w:rPr>
          <w:rFonts w:ascii="Verdana" w:eastAsia="Times New Roman" w:hAnsi="Verdana" w:cs="Times New Roman"/>
          <w:i/>
          <w:sz w:val="20"/>
          <w:szCs w:val="20"/>
          <w:lang w:eastAsia="ar-SA"/>
        </w:rPr>
        <w:t xml:space="preserve">sa Corrente" ai sensi degli art. 3 e 180 del D.Lgs. n. 50/2016 e </w:t>
      </w:r>
      <w:proofErr w:type="spellStart"/>
      <w:r w:rsidRPr="00AA5AF3">
        <w:rPr>
          <w:rFonts w:ascii="Verdana" w:eastAsia="Times New Roman" w:hAnsi="Verdana" w:cs="Times New Roman"/>
          <w:i/>
          <w:sz w:val="20"/>
          <w:szCs w:val="20"/>
          <w:lang w:eastAsia="ar-SA"/>
        </w:rPr>
        <w:t>s.m.i</w:t>
      </w:r>
      <w:r w:rsidRPr="00AA5AF3">
        <w:rPr>
          <w:rFonts w:ascii="Verdana" w:eastAsia="Times New Roman" w:hAnsi="Verdana" w:cs="Times New Roman"/>
          <w:sz w:val="20"/>
          <w:szCs w:val="20"/>
          <w:lang w:eastAsia="ar-SA"/>
        </w:rPr>
        <w:t>.</w:t>
      </w:r>
      <w:proofErr w:type="spellEnd"/>
      <w:r>
        <w:rPr>
          <w:rFonts w:ascii="Verdana" w:eastAsia="Times New Roman" w:hAnsi="Verdana" w:cs="Times New Roman"/>
          <w:sz w:val="20"/>
          <w:szCs w:val="20"/>
          <w:lang w:eastAsia="ar-SA"/>
        </w:rPr>
        <w:t>”</w:t>
      </w:r>
    </w:p>
    <w:p w:rsidR="00394EB5" w:rsidRPr="00394EB5" w:rsidRDefault="00394EB5" w:rsidP="00394EB5">
      <w:pPr>
        <w:tabs>
          <w:tab w:val="left" w:pos="1832"/>
          <w:tab w:val="left" w:pos="2748"/>
          <w:tab w:val="left" w:pos="3664"/>
          <w:tab w:val="left" w:pos="4580"/>
          <w:tab w:val="left" w:pos="5496"/>
          <w:tab w:val="left" w:pos="6412"/>
          <w:tab w:val="left" w:pos="9160"/>
          <w:tab w:val="left" w:pos="9720"/>
          <w:tab w:val="left" w:pos="10076"/>
          <w:tab w:val="left" w:pos="10992"/>
          <w:tab w:val="left" w:pos="11908"/>
          <w:tab w:val="left" w:pos="12824"/>
          <w:tab w:val="left" w:pos="13740"/>
          <w:tab w:val="left" w:pos="14656"/>
        </w:tabs>
        <w:spacing w:line="360" w:lineRule="auto"/>
        <w:ind w:right="-57"/>
        <w:jc w:val="both"/>
        <w:rPr>
          <w:rFonts w:ascii="Verdana" w:eastAsia="Times New Roman" w:hAnsi="Verdana" w:cs="Times New Roman"/>
          <w:sz w:val="20"/>
          <w:szCs w:val="20"/>
          <w:lang w:eastAsia="ar-SA"/>
        </w:rPr>
      </w:pPr>
      <w:r w:rsidRPr="00394EB5">
        <w:rPr>
          <w:rFonts w:ascii="Verdana" w:eastAsia="Times New Roman" w:hAnsi="Verdana" w:cs="Times New Roman"/>
          <w:sz w:val="20"/>
          <w:szCs w:val="20"/>
          <w:lang w:eastAsia="ar-SA"/>
        </w:rPr>
        <w:t xml:space="preserve"> Considerato in</w:t>
      </w:r>
    </w:p>
    <w:p w:rsidR="00394EB5" w:rsidRPr="00394EB5" w:rsidRDefault="00394EB5" w:rsidP="00394EB5">
      <w:pPr>
        <w:suppressAutoHyphens/>
        <w:spacing w:after="0" w:line="360" w:lineRule="auto"/>
        <w:ind w:right="-54"/>
        <w:jc w:val="center"/>
        <w:rPr>
          <w:rFonts w:ascii="Verdana" w:eastAsia="Times New Roman" w:hAnsi="Verdana" w:cs="Arial"/>
          <w:sz w:val="20"/>
          <w:szCs w:val="20"/>
          <w:lang w:eastAsia="ar-SA"/>
        </w:rPr>
      </w:pPr>
      <w:r w:rsidRPr="00394EB5">
        <w:rPr>
          <w:rFonts w:ascii="Verdana" w:eastAsia="Times New Roman" w:hAnsi="Verdana" w:cs="Arial"/>
          <w:sz w:val="20"/>
          <w:szCs w:val="20"/>
          <w:lang w:eastAsia="ar-SA"/>
        </w:rPr>
        <w:t>DIRITTO</w:t>
      </w:r>
    </w:p>
    <w:p w:rsidR="00394EB5" w:rsidRPr="00394EB5" w:rsidRDefault="00394EB5" w:rsidP="00394EB5">
      <w:pPr>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P</w:t>
      </w:r>
      <w:r w:rsidRPr="00394EB5">
        <w:rPr>
          <w:rFonts w:ascii="Verdana" w:eastAsia="Times New Roman" w:hAnsi="Verdana" w:cs="Times New Roman"/>
          <w:sz w:val="20"/>
          <w:szCs w:val="20"/>
          <w:lang w:eastAsia="ar-SA"/>
        </w:rPr>
        <w:t>reliminarmente, occorre valutare i profili di ammissibilità, sia soggettiva che oggettiva, della richiesta di parere alla luce dell’art. 7, comma 8, della L. 05/06/2003 n. 131 che conferisce a Regioni, Comuni, Province e Città Metropolitane la possibilità di richiedere alle Sezioni Regionali di Controllo della Corte dei Conti pareri in materia di contabilità pubblica. Da ultimo, l’art 10 bis d.l. 24/06/2016 n. 113 conv. dalla l. 7/08/2016 n. 160, fermo restando i requisiti soggettivi di ammissibilità sopra richiamati, ha introdotto un nuovo periodo nel testo del citato art 7, comma 8, prevedendo che le richieste di parere nella medesima materia possono essere rivolte direttamente alla Sezione delle autonomie della Corte dei conti: per le Regioni, dalla Conferenza delle Regioni e delle Province autonome e dalla Conferenza dei Presidenti delle Assemblee legislative delle Regioni e delle Province autonome; per i Comuni, le Province e le Città metropolitane, dalle rispettive componenti rappresentative nell'ambito della Conferenza unificata.</w:t>
      </w:r>
    </w:p>
    <w:p w:rsidR="00394EB5" w:rsidRPr="00394EB5" w:rsidRDefault="00394EB5" w:rsidP="00394EB5">
      <w:pPr>
        <w:tabs>
          <w:tab w:val="left" w:pos="9360"/>
        </w:tabs>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Times New Roman"/>
          <w:sz w:val="20"/>
          <w:szCs w:val="20"/>
          <w:lang w:eastAsia="ar-SA"/>
        </w:rPr>
        <w:t xml:space="preserve">In relazione al profilo di ammissibilità soggettiva, la Sezione osserva che la richiesta di parere è sottoscritta dal Sindaco del Comune di </w:t>
      </w:r>
      <w:r w:rsidR="00967522">
        <w:rPr>
          <w:rFonts w:ascii="Verdana" w:eastAsia="Times New Roman" w:hAnsi="Verdana" w:cs="Times New Roman"/>
          <w:sz w:val="20"/>
          <w:szCs w:val="20"/>
          <w:lang w:eastAsia="ar-SA"/>
        </w:rPr>
        <w:t>Canosa di Puglia</w:t>
      </w:r>
      <w:r w:rsidRPr="00394EB5">
        <w:rPr>
          <w:rFonts w:ascii="Verdana" w:eastAsia="Times New Roman" w:hAnsi="Verdana" w:cs="Times New Roman"/>
          <w:sz w:val="20"/>
          <w:szCs w:val="20"/>
          <w:lang w:eastAsia="ar-SA"/>
        </w:rPr>
        <w:t>, per cui non vi è dubbio in merito alla sussistenza del requisito predetto.</w:t>
      </w:r>
    </w:p>
    <w:p w:rsidR="00394EB5" w:rsidRPr="00394EB5" w:rsidRDefault="00394EB5" w:rsidP="00394EB5">
      <w:pPr>
        <w:tabs>
          <w:tab w:val="left" w:pos="9360"/>
        </w:tabs>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 xml:space="preserve">Non può ritenersi di ostacolo alla ricevibilità della richiesta la mancanza nella Regione Puglia del Consiglio delle Autonomie Locali che, ai sensi dell’art. 123 della Costituzione, nel testo introdotto </w:t>
      </w:r>
      <w:r w:rsidRPr="00394EB5">
        <w:rPr>
          <w:rFonts w:ascii="Verdana" w:eastAsia="Times New Roman" w:hAnsi="Verdana" w:cs="Arial"/>
          <w:sz w:val="20"/>
          <w:szCs w:val="20"/>
          <w:lang w:eastAsia="ar-SA"/>
        </w:rPr>
        <w:lastRenderedPageBreak/>
        <w:t>dalla L. Cost. 18/10/2001 n. 3, deve essere disciplinato dallo Statuto di ogni Regione, quale organo di consultazione tra la Regione stessa e gli Enti locali.</w:t>
      </w:r>
    </w:p>
    <w:p w:rsidR="00394EB5" w:rsidRPr="00394EB5" w:rsidRDefault="00394EB5" w:rsidP="00394EB5">
      <w:pPr>
        <w:tabs>
          <w:tab w:val="left" w:pos="9360"/>
        </w:tabs>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Il Consiglio delle Autonomie Locali, se istituito, è quindi destinato a svolgere, secondo il dettato dell’art. 7, comma 8, della L. n. 131/2003, una funzione di filtro per le richieste di parere da sottoporre alle Sezioni Regionali di Controllo.</w:t>
      </w:r>
    </w:p>
    <w:p w:rsidR="00394EB5" w:rsidRPr="00394EB5" w:rsidRDefault="00394EB5" w:rsidP="00394EB5">
      <w:pPr>
        <w:tabs>
          <w:tab w:val="left" w:pos="9360"/>
        </w:tabs>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 xml:space="preserve">Invero, l’art. 45 dello Statuto della Regione Puglia, approvato con L. R. 12/05/2004 n. 7, ha previsto l’istituzione del Consiglio delle Autonomie Locali e con la successiva L. R. del 26/10/2006 n. 29 sono state disciplinate le modalità di composizione, elezione e competenze. </w:t>
      </w:r>
    </w:p>
    <w:p w:rsidR="00394EB5" w:rsidRPr="00394EB5" w:rsidRDefault="00394EB5" w:rsidP="00394EB5">
      <w:pPr>
        <w:tabs>
          <w:tab w:val="left" w:pos="8766"/>
        </w:tabs>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Tuttavia, rilevato che allo stato attuale il Consiglio delle Autonomie Locali non è tuttora operante, la Sezione ritiene soggettivamente ammissibile la richiesta di parere.</w:t>
      </w:r>
    </w:p>
    <w:p w:rsidR="00394EB5" w:rsidRPr="00394EB5" w:rsidRDefault="00394EB5" w:rsidP="00394EB5">
      <w:pPr>
        <w:tabs>
          <w:tab w:val="left" w:pos="8766"/>
        </w:tabs>
        <w:suppressAutoHyphens/>
        <w:spacing w:after="0" w:line="360" w:lineRule="auto"/>
        <w:ind w:right="-54"/>
        <w:jc w:val="both"/>
        <w:rPr>
          <w:rFonts w:ascii="Verdana" w:eastAsia="Times New Roman" w:hAnsi="Verdana" w:cs="Arial"/>
          <w:i/>
          <w:iCs/>
          <w:sz w:val="20"/>
          <w:szCs w:val="20"/>
          <w:lang w:eastAsia="ar-SA"/>
        </w:rPr>
      </w:pPr>
      <w:r w:rsidRPr="00394EB5">
        <w:rPr>
          <w:rFonts w:ascii="Verdana" w:eastAsia="Times New Roman" w:hAnsi="Verdana" w:cs="Arial"/>
          <w:sz w:val="20"/>
          <w:szCs w:val="20"/>
          <w:lang w:eastAsia="ar-SA"/>
        </w:rPr>
        <w:t xml:space="preserve">Sul piano dell’ammissibilità oggettiva, si rammenta che </w:t>
      </w:r>
      <w:r w:rsidRPr="00394EB5">
        <w:rPr>
          <w:rFonts w:ascii="Verdana" w:eastAsia="Times New Roman" w:hAnsi="Verdana" w:cs="Times New Roman"/>
          <w:sz w:val="20"/>
          <w:szCs w:val="20"/>
          <w:lang w:eastAsia="ar-SA"/>
        </w:rPr>
        <w:t xml:space="preserve">la </w:t>
      </w:r>
      <w:r w:rsidRPr="00394EB5">
        <w:rPr>
          <w:rFonts w:ascii="Verdana" w:eastAsia="Times New Roman" w:hAnsi="Verdana" w:cs="Arial"/>
          <w:sz w:val="20"/>
          <w:szCs w:val="20"/>
          <w:lang w:eastAsia="ar-SA"/>
        </w:rPr>
        <w:t xml:space="preserve">Corte dei Conti, secondo il disposto dell’art. 7, comma 8, della L. n. 131/2003, può rendere pareri in materia di </w:t>
      </w:r>
      <w:r w:rsidRPr="00394EB5">
        <w:rPr>
          <w:rFonts w:ascii="Verdana" w:eastAsia="Times New Roman" w:hAnsi="Verdana" w:cs="Arial"/>
          <w:i/>
          <w:iCs/>
          <w:sz w:val="20"/>
          <w:szCs w:val="20"/>
          <w:lang w:eastAsia="ar-SA"/>
        </w:rPr>
        <w:t>“contabilità pubblica”.</w:t>
      </w:r>
    </w:p>
    <w:p w:rsidR="00394EB5" w:rsidRPr="00394EB5" w:rsidRDefault="00394EB5" w:rsidP="00394EB5">
      <w:pPr>
        <w:tabs>
          <w:tab w:val="left" w:pos="8766"/>
        </w:tabs>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iCs/>
          <w:sz w:val="20"/>
          <w:szCs w:val="20"/>
          <w:lang w:eastAsia="ar-SA"/>
        </w:rPr>
        <w:t>Il Collegio</w:t>
      </w:r>
      <w:r w:rsidRPr="00394EB5">
        <w:rPr>
          <w:rFonts w:ascii="Verdana" w:eastAsia="Times New Roman" w:hAnsi="Verdana" w:cs="Arial"/>
          <w:sz w:val="20"/>
          <w:szCs w:val="20"/>
          <w:lang w:eastAsia="ar-SA"/>
        </w:rPr>
        <w:t xml:space="preserve"> evidenzia che le Sezioni Riunite in sede di Controllo, con la deliberazione n. 54 depositata in data 17/11/2010 resa </w:t>
      </w:r>
      <w:r w:rsidRPr="00394EB5">
        <w:rPr>
          <w:rFonts w:ascii="Verdana" w:eastAsia="Times New Roman" w:hAnsi="Verdana" w:cs="Times New Roman"/>
          <w:sz w:val="20"/>
          <w:szCs w:val="20"/>
          <w:lang w:eastAsia="ar-SA"/>
        </w:rPr>
        <w:t xml:space="preserve">in sede di coordinamento della finanza pubblica ai sensi dell’art. 17, comma 31, del D. L. 1/07/2009, n. 78, convertito, con modificazioni, dalla L. 3/08/2009, n. 102, </w:t>
      </w:r>
      <w:r w:rsidRPr="00394EB5">
        <w:rPr>
          <w:rFonts w:ascii="Verdana" w:eastAsia="Times New Roman" w:hAnsi="Verdana" w:cs="Arial"/>
          <w:sz w:val="20"/>
          <w:szCs w:val="20"/>
          <w:lang w:eastAsia="ar-SA"/>
        </w:rPr>
        <w:t>condividendo l’orientamento già espresso dalla Sezione delle Autonomie con la deliberazione n. 5 del 17/02/2006, hanno affermato che la nozione di “</w:t>
      </w:r>
      <w:r w:rsidRPr="00394EB5">
        <w:rPr>
          <w:rFonts w:ascii="Verdana" w:eastAsia="Times New Roman" w:hAnsi="Verdana" w:cs="Arial"/>
          <w:i/>
          <w:sz w:val="20"/>
          <w:szCs w:val="20"/>
          <w:lang w:eastAsia="ar-SA"/>
        </w:rPr>
        <w:t>con</w:t>
      </w:r>
      <w:r w:rsidRPr="00394EB5">
        <w:rPr>
          <w:rFonts w:ascii="Verdana" w:eastAsia="Times New Roman" w:hAnsi="Verdana" w:cs="Arial"/>
          <w:i/>
          <w:iCs/>
          <w:sz w:val="20"/>
          <w:szCs w:val="20"/>
          <w:lang w:eastAsia="ar-SA"/>
        </w:rPr>
        <w:t>tabilità pubblica”</w:t>
      </w:r>
      <w:r w:rsidRPr="00394EB5">
        <w:rPr>
          <w:rFonts w:ascii="Verdana" w:eastAsia="Times New Roman" w:hAnsi="Verdana" w:cs="Arial"/>
          <w:sz w:val="20"/>
          <w:szCs w:val="20"/>
          <w:lang w:eastAsia="ar-SA"/>
        </w:rPr>
        <w:t xml:space="preserve"> strumentale alla funzione consultiva deve assumere un ambito limitato alle normative ed ai relativi atti applicativi che disciplinano l’attività finanziaria che precede o che segue i distinti interventi di settore, ricomprendendo in particolare la disciplina inerente la gestione dei bilanci ed i relativi equilibri, l’acquisizione delle entrate, l’organizzazione finanziaria-contabile, la gestione delle spese, la disciplina del patrimonio, l’indebitamento, la rendicontazione ed i relativi controlli.</w:t>
      </w:r>
    </w:p>
    <w:p w:rsidR="00394EB5" w:rsidRPr="00394EB5" w:rsidRDefault="00394EB5" w:rsidP="00394EB5">
      <w:pPr>
        <w:tabs>
          <w:tab w:val="left" w:pos="8766"/>
        </w:tabs>
        <w:suppressAutoHyphens/>
        <w:spacing w:after="0" w:line="360" w:lineRule="auto"/>
        <w:ind w:right="-54"/>
        <w:jc w:val="both"/>
        <w:rPr>
          <w:rFonts w:ascii="Verdana" w:eastAsia="Times New Roman" w:hAnsi="Verdana" w:cs="Arial"/>
          <w:i/>
          <w:sz w:val="20"/>
          <w:szCs w:val="20"/>
          <w:lang w:eastAsia="ar-SA"/>
        </w:rPr>
      </w:pPr>
      <w:r w:rsidRPr="00394EB5">
        <w:rPr>
          <w:rFonts w:ascii="Verdana" w:eastAsia="Times New Roman" w:hAnsi="Verdana" w:cs="Arial"/>
          <w:sz w:val="20"/>
          <w:szCs w:val="20"/>
          <w:lang w:eastAsia="ar-SA"/>
        </w:rPr>
        <w:t xml:space="preserve">Le Sezioni Riunite hanno, inoltre, sottolineato che </w:t>
      </w:r>
      <w:r w:rsidRPr="00394EB5">
        <w:rPr>
          <w:rFonts w:ascii="Verdana" w:eastAsia="Times New Roman" w:hAnsi="Verdana" w:cs="Arial"/>
          <w:i/>
          <w:sz w:val="20"/>
          <w:szCs w:val="20"/>
          <w:lang w:eastAsia="ar-SA"/>
        </w:rPr>
        <w:t>il concetto di contabilità pubblica consiste nel sistema di principi e di norme che regolano l’attività finanziaria e patrimoniale dello Stato e degli Enti pubblici.</w:t>
      </w:r>
    </w:p>
    <w:p w:rsidR="00394EB5" w:rsidRPr="00394EB5" w:rsidRDefault="00394EB5" w:rsidP="00394EB5">
      <w:pPr>
        <w:tabs>
          <w:tab w:val="left" w:pos="0"/>
        </w:tabs>
        <w:suppressAutoHyphens/>
        <w:spacing w:after="0" w:line="360" w:lineRule="auto"/>
        <w:ind w:right="-54"/>
        <w:jc w:val="both"/>
        <w:rPr>
          <w:rFonts w:ascii="Verdana" w:eastAsia="Times New Roman" w:hAnsi="Verdana" w:cs="Times New Roman"/>
          <w:sz w:val="20"/>
          <w:szCs w:val="20"/>
          <w:lang w:eastAsia="ar-SA"/>
        </w:rPr>
      </w:pPr>
      <w:r w:rsidRPr="00394EB5">
        <w:rPr>
          <w:rFonts w:ascii="Verdana" w:eastAsia="Times New Roman" w:hAnsi="Verdana" w:cs="Arial"/>
          <w:sz w:val="20"/>
          <w:szCs w:val="20"/>
          <w:lang w:eastAsia="ar-SA"/>
        </w:rPr>
        <w:t xml:space="preserve">Per </w:t>
      </w:r>
      <w:r w:rsidRPr="00394EB5">
        <w:rPr>
          <w:rFonts w:ascii="Verdana" w:eastAsia="Times New Roman" w:hAnsi="Verdana" w:cs="Times New Roman"/>
          <w:sz w:val="20"/>
          <w:szCs w:val="20"/>
          <w:lang w:eastAsia="ar-SA"/>
        </w:rPr>
        <w:t>consolidato orientamento delle Sezioni Regionali di Controllo, fatto proprio anche da questa Sezione, la funzione consultiva assegnata alla Corte dei conti deve trattare ambiti ed oggetti di portata generale e non fatti gestionali specifici; non può riguardare provvedimenti già formalmente adottati, non potendo tramutarsi in una verifica postuma di legittimità, e non può interferire con le funzioni assegnate ad altre Magistrature o alla stessa Corte.</w:t>
      </w:r>
    </w:p>
    <w:p w:rsidR="009230E0" w:rsidRDefault="00394EB5" w:rsidP="00394EB5">
      <w:pPr>
        <w:tabs>
          <w:tab w:val="left" w:pos="0"/>
        </w:tabs>
        <w:suppressAutoHyphens/>
        <w:spacing w:after="0" w:line="360" w:lineRule="auto"/>
        <w:ind w:right="-54"/>
        <w:jc w:val="both"/>
        <w:rPr>
          <w:rFonts w:ascii="Verdana" w:eastAsia="Times New Roman" w:hAnsi="Verdana" w:cs="Times New Roman"/>
          <w:sz w:val="20"/>
          <w:szCs w:val="20"/>
          <w:lang w:eastAsia="ar-SA"/>
        </w:rPr>
      </w:pPr>
      <w:r w:rsidRPr="00394EB5">
        <w:rPr>
          <w:rFonts w:ascii="Verdana" w:eastAsia="Times New Roman" w:hAnsi="Verdana" w:cs="Times New Roman"/>
          <w:sz w:val="20"/>
          <w:szCs w:val="20"/>
          <w:lang w:eastAsia="ar-SA"/>
        </w:rPr>
        <w:t xml:space="preserve">Alla luce delle coordinate interpretative sopra richiamate, </w:t>
      </w:r>
      <w:r w:rsidR="00826A5C">
        <w:rPr>
          <w:rFonts w:ascii="Verdana" w:eastAsia="Times New Roman" w:hAnsi="Verdana" w:cs="Times New Roman"/>
          <w:sz w:val="20"/>
          <w:szCs w:val="20"/>
          <w:lang w:eastAsia="ar-SA"/>
        </w:rPr>
        <w:t>la richiesta di parere</w:t>
      </w:r>
      <w:r w:rsidR="00B02FED">
        <w:rPr>
          <w:rFonts w:ascii="Verdana" w:eastAsia="Times New Roman" w:hAnsi="Verdana" w:cs="Times New Roman"/>
          <w:sz w:val="20"/>
          <w:szCs w:val="20"/>
          <w:lang w:eastAsia="ar-SA"/>
        </w:rPr>
        <w:t xml:space="preserve"> formulat</w:t>
      </w:r>
      <w:r w:rsidR="00826A5C">
        <w:rPr>
          <w:rFonts w:ascii="Verdana" w:eastAsia="Times New Roman" w:hAnsi="Verdana" w:cs="Times New Roman"/>
          <w:sz w:val="20"/>
          <w:szCs w:val="20"/>
          <w:lang w:eastAsia="ar-SA"/>
        </w:rPr>
        <w:t>a</w:t>
      </w:r>
      <w:r w:rsidR="00B02FED">
        <w:rPr>
          <w:rFonts w:ascii="Verdana" w:eastAsia="Times New Roman" w:hAnsi="Verdana" w:cs="Times New Roman"/>
          <w:sz w:val="20"/>
          <w:szCs w:val="20"/>
          <w:lang w:eastAsia="ar-SA"/>
        </w:rPr>
        <w:t xml:space="preserve"> dal Comune di </w:t>
      </w:r>
      <w:r w:rsidR="0001045E">
        <w:rPr>
          <w:rFonts w:ascii="Verdana" w:eastAsia="Times New Roman" w:hAnsi="Verdana" w:cs="Times New Roman"/>
          <w:sz w:val="20"/>
          <w:szCs w:val="20"/>
          <w:lang w:eastAsia="ar-SA"/>
        </w:rPr>
        <w:t xml:space="preserve">Canosa di Puglia è ammissibile sul piano oggettivo, in quanto </w:t>
      </w:r>
      <w:r w:rsidR="00826A5C">
        <w:rPr>
          <w:rFonts w:ascii="Verdana" w:eastAsia="Times New Roman" w:hAnsi="Verdana" w:cs="Times New Roman"/>
          <w:sz w:val="20"/>
          <w:szCs w:val="20"/>
          <w:lang w:eastAsia="ar-SA"/>
        </w:rPr>
        <w:t>afferente alle</w:t>
      </w:r>
      <w:r w:rsidR="0001045E">
        <w:rPr>
          <w:rFonts w:ascii="Verdana" w:eastAsia="Times New Roman" w:hAnsi="Verdana" w:cs="Times New Roman"/>
          <w:sz w:val="20"/>
          <w:szCs w:val="20"/>
          <w:lang w:eastAsia="ar-SA"/>
        </w:rPr>
        <w:t xml:space="preserve"> modalità di contabilizzazione del contratto di leasing in costruendo, </w:t>
      </w:r>
      <w:r w:rsidR="00826A5C">
        <w:rPr>
          <w:rFonts w:ascii="Verdana" w:eastAsia="Times New Roman" w:hAnsi="Verdana" w:cs="Times New Roman"/>
          <w:sz w:val="20"/>
          <w:szCs w:val="20"/>
          <w:lang w:eastAsia="ar-SA"/>
        </w:rPr>
        <w:t xml:space="preserve">tipologia contrattuale </w:t>
      </w:r>
      <w:r w:rsidR="0001045E">
        <w:rPr>
          <w:rFonts w:ascii="Verdana" w:eastAsia="Times New Roman" w:hAnsi="Verdana" w:cs="Times New Roman"/>
          <w:sz w:val="20"/>
          <w:szCs w:val="20"/>
          <w:lang w:eastAsia="ar-SA"/>
        </w:rPr>
        <w:t xml:space="preserve">rientrante tra le </w:t>
      </w:r>
      <w:r w:rsidR="00003BB7">
        <w:rPr>
          <w:rFonts w:ascii="Verdana" w:eastAsia="Times New Roman" w:hAnsi="Verdana" w:cs="Times New Roman"/>
          <w:sz w:val="20"/>
          <w:szCs w:val="20"/>
          <w:lang w:eastAsia="ar-SA"/>
        </w:rPr>
        <w:t>ipotesi</w:t>
      </w:r>
      <w:r w:rsidR="00B6541A">
        <w:rPr>
          <w:rFonts w:ascii="Verdana" w:eastAsia="Times New Roman" w:hAnsi="Verdana" w:cs="Times New Roman"/>
          <w:sz w:val="20"/>
          <w:szCs w:val="20"/>
          <w:lang w:eastAsia="ar-SA"/>
        </w:rPr>
        <w:t xml:space="preserve"> di partenariato</w:t>
      </w:r>
      <w:r w:rsidR="0001045E">
        <w:rPr>
          <w:rFonts w:ascii="Verdana" w:eastAsia="Times New Roman" w:hAnsi="Verdana" w:cs="Times New Roman"/>
          <w:sz w:val="20"/>
          <w:szCs w:val="20"/>
          <w:lang w:eastAsia="ar-SA"/>
        </w:rPr>
        <w:t xml:space="preserve"> pubblico privato contemplate dagli artt. 3 lett</w:t>
      </w:r>
      <w:r w:rsidR="00C21035">
        <w:rPr>
          <w:rFonts w:ascii="Verdana" w:eastAsia="Times New Roman" w:hAnsi="Verdana" w:cs="Times New Roman"/>
          <w:sz w:val="20"/>
          <w:szCs w:val="20"/>
          <w:lang w:eastAsia="ar-SA"/>
        </w:rPr>
        <w:t>.</w:t>
      </w:r>
      <w:r w:rsidR="00B6541A">
        <w:rPr>
          <w:rFonts w:ascii="Verdana" w:eastAsia="Times New Roman" w:hAnsi="Verdana" w:cs="Times New Roman"/>
          <w:sz w:val="20"/>
          <w:szCs w:val="20"/>
          <w:lang w:eastAsia="ar-SA"/>
        </w:rPr>
        <w:t xml:space="preserve"> </w:t>
      </w:r>
      <w:r w:rsidR="0001045E">
        <w:rPr>
          <w:rFonts w:ascii="Verdana" w:eastAsia="Times New Roman" w:hAnsi="Verdana" w:cs="Times New Roman"/>
          <w:sz w:val="20"/>
          <w:szCs w:val="20"/>
          <w:lang w:eastAsia="ar-SA"/>
        </w:rPr>
        <w:t>e) e 180 d. lgs 50/2016</w:t>
      </w:r>
      <w:r w:rsidR="00003BB7">
        <w:rPr>
          <w:rFonts w:ascii="Verdana" w:eastAsia="Times New Roman" w:hAnsi="Verdana" w:cs="Times New Roman"/>
          <w:sz w:val="20"/>
          <w:szCs w:val="20"/>
          <w:lang w:eastAsia="ar-SA"/>
        </w:rPr>
        <w:t>.</w:t>
      </w:r>
    </w:p>
    <w:p w:rsidR="00003BB7" w:rsidRDefault="00003BB7" w:rsidP="00394EB5">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 xml:space="preserve">La risposta al quesito, tuttavia, non può che essere generale ed astratta, </w:t>
      </w:r>
      <w:r w:rsidR="00040FDA">
        <w:rPr>
          <w:rFonts w:ascii="Verdana" w:eastAsia="Times New Roman" w:hAnsi="Verdana" w:cs="Times New Roman"/>
          <w:sz w:val="20"/>
          <w:szCs w:val="20"/>
          <w:lang w:eastAsia="ar-SA"/>
        </w:rPr>
        <w:t>atteso che</w:t>
      </w:r>
      <w:r>
        <w:rPr>
          <w:rFonts w:ascii="Verdana" w:eastAsia="Times New Roman" w:hAnsi="Verdana" w:cs="Times New Roman"/>
          <w:sz w:val="20"/>
          <w:szCs w:val="20"/>
          <w:lang w:eastAsia="ar-SA"/>
        </w:rPr>
        <w:t xml:space="preserve"> rientra nella sfera di competenza dell’ente locale la </w:t>
      </w:r>
      <w:r w:rsidR="00040FDA">
        <w:rPr>
          <w:rFonts w:ascii="Verdana" w:eastAsia="Times New Roman" w:hAnsi="Verdana" w:cs="Times New Roman"/>
          <w:sz w:val="20"/>
          <w:szCs w:val="20"/>
          <w:lang w:eastAsia="ar-SA"/>
        </w:rPr>
        <w:t xml:space="preserve">specifica </w:t>
      </w:r>
      <w:r>
        <w:rPr>
          <w:rFonts w:ascii="Verdana" w:eastAsia="Times New Roman" w:hAnsi="Verdana" w:cs="Times New Roman"/>
          <w:sz w:val="20"/>
          <w:szCs w:val="20"/>
          <w:lang w:eastAsia="ar-SA"/>
        </w:rPr>
        <w:t xml:space="preserve">declinazione dei principi </w:t>
      </w:r>
      <w:r w:rsidR="001926D7">
        <w:rPr>
          <w:rFonts w:ascii="Verdana" w:eastAsia="Times New Roman" w:hAnsi="Verdana" w:cs="Times New Roman"/>
          <w:sz w:val="20"/>
          <w:szCs w:val="20"/>
          <w:lang w:eastAsia="ar-SA"/>
        </w:rPr>
        <w:t xml:space="preserve">di seguito </w:t>
      </w:r>
      <w:r>
        <w:rPr>
          <w:rFonts w:ascii="Verdana" w:eastAsia="Times New Roman" w:hAnsi="Verdana" w:cs="Times New Roman"/>
          <w:sz w:val="20"/>
          <w:szCs w:val="20"/>
          <w:lang w:eastAsia="ar-SA"/>
        </w:rPr>
        <w:t>enunciati con riferimento alla fattispecie contrattuale concretamente posta in essere.</w:t>
      </w:r>
    </w:p>
    <w:p w:rsidR="00ED2300" w:rsidRDefault="001926D7"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lastRenderedPageBreak/>
        <w:t>Passando al merito de</w:t>
      </w:r>
      <w:r w:rsidR="00557F40">
        <w:rPr>
          <w:rFonts w:ascii="Verdana" w:eastAsia="Times New Roman" w:hAnsi="Verdana" w:cs="Times New Roman"/>
          <w:sz w:val="20"/>
          <w:szCs w:val="20"/>
          <w:lang w:eastAsia="ar-SA"/>
        </w:rPr>
        <w:t xml:space="preserve">lla richiesta, il Comune chiede quali siano le modalità di contabilizzazione </w:t>
      </w:r>
      <w:r w:rsidR="007C7EF9">
        <w:rPr>
          <w:rFonts w:ascii="Verdana" w:eastAsia="Times New Roman" w:hAnsi="Verdana" w:cs="Times New Roman"/>
          <w:sz w:val="20"/>
          <w:szCs w:val="20"/>
          <w:lang w:eastAsia="ar-SA"/>
        </w:rPr>
        <w:t xml:space="preserve">in caso di </w:t>
      </w:r>
      <w:r>
        <w:rPr>
          <w:rFonts w:ascii="Verdana" w:eastAsia="Times New Roman" w:hAnsi="Verdana" w:cs="Times New Roman"/>
          <w:sz w:val="20"/>
          <w:szCs w:val="20"/>
          <w:lang w:eastAsia="ar-SA"/>
        </w:rPr>
        <w:t xml:space="preserve">realizzazione di </w:t>
      </w:r>
      <w:r w:rsidR="00557F40">
        <w:rPr>
          <w:rFonts w:ascii="Verdana" w:eastAsia="Times New Roman" w:hAnsi="Verdana" w:cs="Times New Roman"/>
          <w:sz w:val="20"/>
          <w:szCs w:val="20"/>
          <w:lang w:eastAsia="ar-SA"/>
        </w:rPr>
        <w:t>un’opera pubblica (nella specie</w:t>
      </w:r>
      <w:r w:rsidR="00ED2300">
        <w:rPr>
          <w:rFonts w:ascii="Verdana" w:eastAsia="Times New Roman" w:hAnsi="Verdana" w:cs="Times New Roman"/>
          <w:sz w:val="20"/>
          <w:szCs w:val="20"/>
          <w:lang w:eastAsia="ar-SA"/>
        </w:rPr>
        <w:t>,</w:t>
      </w:r>
      <w:r w:rsidR="00557F40">
        <w:rPr>
          <w:rFonts w:ascii="Verdana" w:eastAsia="Times New Roman" w:hAnsi="Verdana" w:cs="Times New Roman"/>
          <w:sz w:val="20"/>
          <w:szCs w:val="20"/>
          <w:lang w:eastAsia="ar-SA"/>
        </w:rPr>
        <w:t xml:space="preserve"> </w:t>
      </w:r>
      <w:r w:rsidR="00ED2300">
        <w:rPr>
          <w:rFonts w:ascii="Verdana" w:eastAsia="Times New Roman" w:hAnsi="Verdana" w:cs="Times New Roman"/>
          <w:sz w:val="20"/>
          <w:szCs w:val="20"/>
          <w:lang w:eastAsia="ar-SA"/>
        </w:rPr>
        <w:t>l’</w:t>
      </w:r>
      <w:r w:rsidR="00557F40">
        <w:rPr>
          <w:rFonts w:ascii="Verdana" w:eastAsia="Times New Roman" w:hAnsi="Verdana" w:cs="Times New Roman"/>
          <w:sz w:val="20"/>
          <w:szCs w:val="20"/>
          <w:lang w:eastAsia="ar-SA"/>
        </w:rPr>
        <w:t xml:space="preserve">ampliamento di una </w:t>
      </w:r>
      <w:r w:rsidR="00093FAD">
        <w:rPr>
          <w:rFonts w:ascii="Verdana" w:eastAsia="Times New Roman" w:hAnsi="Verdana" w:cs="Times New Roman"/>
          <w:sz w:val="20"/>
          <w:szCs w:val="20"/>
          <w:lang w:eastAsia="ar-SA"/>
        </w:rPr>
        <w:t xml:space="preserve">scuola </w:t>
      </w:r>
      <w:r w:rsidR="00557F40">
        <w:rPr>
          <w:rFonts w:ascii="Verdana" w:eastAsia="Times New Roman" w:hAnsi="Verdana" w:cs="Times New Roman"/>
          <w:sz w:val="20"/>
          <w:szCs w:val="20"/>
          <w:lang w:eastAsia="ar-SA"/>
        </w:rPr>
        <w:t xml:space="preserve">polivalente) mediante leasing in costruendo, di durata ventennale con pagamento di canoni posticipati, opzione di riscatto finale e rischio di realizzazione dell’opera a totale carico dell’operatore privato. Si chiede, in particolare, di chiarire se siffatta operazione configuri un indebitamento ai sensi dell’art </w:t>
      </w:r>
      <w:r w:rsidR="00557F40" w:rsidRPr="00557F40">
        <w:rPr>
          <w:rFonts w:ascii="Verdana" w:eastAsia="Times New Roman" w:hAnsi="Verdana" w:cs="Times New Roman"/>
          <w:sz w:val="20"/>
          <w:szCs w:val="20"/>
          <w:lang w:eastAsia="ar-SA"/>
        </w:rPr>
        <w:t xml:space="preserve">3, comma 17, della legge n. 350 del 2003, </w:t>
      </w:r>
      <w:r w:rsidR="00557F40">
        <w:rPr>
          <w:rFonts w:ascii="Verdana" w:eastAsia="Times New Roman" w:hAnsi="Verdana" w:cs="Times New Roman"/>
          <w:sz w:val="20"/>
          <w:szCs w:val="20"/>
          <w:lang w:eastAsia="ar-SA"/>
        </w:rPr>
        <w:t xml:space="preserve">che qualifica come tali </w:t>
      </w:r>
      <w:r w:rsidR="00557F40" w:rsidRPr="00557F40">
        <w:rPr>
          <w:rFonts w:ascii="Verdana" w:eastAsia="Times New Roman" w:hAnsi="Verdana" w:cs="Times New Roman"/>
          <w:sz w:val="20"/>
          <w:szCs w:val="20"/>
          <w:lang w:eastAsia="ar-SA"/>
        </w:rPr>
        <w:t xml:space="preserve">anche </w:t>
      </w:r>
      <w:r w:rsidR="00557F40">
        <w:rPr>
          <w:rFonts w:ascii="Verdana" w:eastAsia="Times New Roman" w:hAnsi="Verdana" w:cs="Times New Roman"/>
          <w:sz w:val="20"/>
          <w:szCs w:val="20"/>
          <w:lang w:eastAsia="ar-SA"/>
        </w:rPr>
        <w:t xml:space="preserve">le operazioni </w:t>
      </w:r>
      <w:r w:rsidR="00557F40" w:rsidRPr="00557F40">
        <w:rPr>
          <w:rFonts w:ascii="Verdana" w:eastAsia="Times New Roman" w:hAnsi="Verdana" w:cs="Times New Roman"/>
          <w:sz w:val="20"/>
          <w:szCs w:val="20"/>
          <w:lang w:eastAsia="ar-SA"/>
        </w:rPr>
        <w:t>di “</w:t>
      </w:r>
      <w:r w:rsidR="00557F40" w:rsidRPr="00093FAD">
        <w:rPr>
          <w:rFonts w:ascii="Verdana" w:eastAsia="Times New Roman" w:hAnsi="Verdana" w:cs="Times New Roman"/>
          <w:i/>
          <w:sz w:val="20"/>
          <w:szCs w:val="20"/>
          <w:lang w:eastAsia="ar-SA"/>
        </w:rPr>
        <w:t>leasing finanziario stipulate dal 1° gennaio 2015</w:t>
      </w:r>
      <w:r w:rsidR="00557F40" w:rsidRPr="00557F40">
        <w:rPr>
          <w:rFonts w:ascii="Verdana" w:eastAsia="Times New Roman" w:hAnsi="Verdana" w:cs="Times New Roman"/>
          <w:sz w:val="20"/>
          <w:szCs w:val="20"/>
          <w:lang w:eastAsia="ar-SA"/>
        </w:rPr>
        <w:t>”</w:t>
      </w:r>
      <w:r w:rsidR="00093FAD">
        <w:rPr>
          <w:rFonts w:ascii="Verdana" w:eastAsia="Times New Roman" w:hAnsi="Verdana" w:cs="Times New Roman"/>
          <w:sz w:val="20"/>
          <w:szCs w:val="20"/>
          <w:lang w:eastAsia="ar-SA"/>
        </w:rPr>
        <w:t>,</w:t>
      </w:r>
      <w:r w:rsidR="005C4732" w:rsidRPr="005C4732">
        <w:t xml:space="preserve"> </w:t>
      </w:r>
      <w:r w:rsidR="005C4732">
        <w:rPr>
          <w:rFonts w:ascii="Verdana" w:eastAsia="Times New Roman" w:hAnsi="Verdana" w:cs="Times New Roman"/>
          <w:sz w:val="20"/>
          <w:szCs w:val="20"/>
          <w:lang w:eastAsia="ar-SA"/>
        </w:rPr>
        <w:t xml:space="preserve"> e del paragrafo</w:t>
      </w:r>
      <w:r w:rsidR="005C4732" w:rsidRPr="005C4732">
        <w:rPr>
          <w:rFonts w:ascii="Verdana" w:eastAsia="Times New Roman" w:hAnsi="Verdana" w:cs="Times New Roman"/>
          <w:sz w:val="20"/>
          <w:szCs w:val="20"/>
          <w:lang w:eastAsia="ar-SA"/>
        </w:rPr>
        <w:t xml:space="preserve"> 3.25 del Principio contabile applicato concernente la contabilità finanziaria (Allegato 4/2 al d.lgs. n. 118 del 2001</w:t>
      </w:r>
      <w:r w:rsidR="005C4732">
        <w:rPr>
          <w:rFonts w:ascii="Verdana" w:eastAsia="Times New Roman" w:hAnsi="Verdana" w:cs="Times New Roman"/>
          <w:sz w:val="20"/>
          <w:szCs w:val="20"/>
          <w:lang w:eastAsia="ar-SA"/>
        </w:rPr>
        <w:t>)</w:t>
      </w:r>
      <w:r w:rsidR="00ED2300">
        <w:rPr>
          <w:rFonts w:ascii="Verdana" w:eastAsia="Times New Roman" w:hAnsi="Verdana" w:cs="Times New Roman"/>
          <w:sz w:val="20"/>
          <w:szCs w:val="20"/>
          <w:lang w:eastAsia="ar-SA"/>
        </w:rPr>
        <w:t>.</w:t>
      </w:r>
    </w:p>
    <w:p w:rsidR="003967CF" w:rsidRDefault="00ED2300"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Quest’ultimo prevede che:</w:t>
      </w:r>
      <w:r w:rsidRPr="00ED2300">
        <w:t xml:space="preserve"> </w:t>
      </w:r>
      <w:r w:rsidRPr="00ED2300">
        <w:rPr>
          <w:rFonts w:ascii="Verdana" w:eastAsia="Times New Roman" w:hAnsi="Verdana" w:cs="Times New Roman"/>
          <w:sz w:val="20"/>
          <w:szCs w:val="20"/>
          <w:lang w:eastAsia="ar-SA"/>
        </w:rPr>
        <w:t xml:space="preserve">a) il leasing finanziario e i contratti assimilati (leasing immobiliare, leasing in costruendo, sale and </w:t>
      </w:r>
      <w:proofErr w:type="spellStart"/>
      <w:r w:rsidRPr="00ED2300">
        <w:rPr>
          <w:rFonts w:ascii="Verdana" w:eastAsia="Times New Roman" w:hAnsi="Verdana" w:cs="Times New Roman"/>
          <w:sz w:val="20"/>
          <w:szCs w:val="20"/>
          <w:lang w:eastAsia="ar-SA"/>
        </w:rPr>
        <w:t>lease</w:t>
      </w:r>
      <w:proofErr w:type="spellEnd"/>
      <w:r w:rsidRPr="00ED2300">
        <w:rPr>
          <w:rFonts w:ascii="Verdana" w:eastAsia="Times New Roman" w:hAnsi="Verdana" w:cs="Times New Roman"/>
          <w:sz w:val="20"/>
          <w:szCs w:val="20"/>
          <w:lang w:eastAsia="ar-SA"/>
        </w:rPr>
        <w:t>-back, ecc.) sono contratti di finanziamento; b) ai sensi di quanto previsto dall'art. 3, comma 17, della legge n. 350 del 2003, le operazioni di leasing finanziario costituiscono indebitamento; c) per il principio della prevalenza della sostanza sulla forma, come previsto dal SEC 95, dallo IAS 17 e dalla giurisprudenza consolidata, il leasing finanziario ed i contratti assimilati costituiscono debito che finanzia l'investimento; d) il leasing finanziario e le operazioni assimilate, sono registrate con le medesime scritture utilizzate per gli investimenti finanziati da debito, secondo il c.d. metodo finanziario al fine di rilevare sostanzialmente che l'ente si sta in</w:t>
      </w:r>
      <w:r>
        <w:rPr>
          <w:rFonts w:ascii="Verdana" w:eastAsia="Times New Roman" w:hAnsi="Verdana" w:cs="Times New Roman"/>
          <w:sz w:val="20"/>
          <w:szCs w:val="20"/>
          <w:lang w:eastAsia="ar-SA"/>
        </w:rPr>
        <w:t>debitando per acquisire un bene</w:t>
      </w:r>
      <w:r w:rsidRPr="00ED2300">
        <w:rPr>
          <w:rFonts w:ascii="Verdana" w:eastAsia="Times New Roman" w:hAnsi="Verdana" w:cs="Times New Roman"/>
          <w:sz w:val="20"/>
          <w:szCs w:val="20"/>
          <w:lang w:eastAsia="ar-SA"/>
        </w:rPr>
        <w:t>.</w:t>
      </w:r>
    </w:p>
    <w:p w:rsidR="00557EFA" w:rsidRDefault="003967CF"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La tipologia contrattuale in esame</w:t>
      </w:r>
      <w:r w:rsidR="00557EFA">
        <w:rPr>
          <w:rFonts w:ascii="Verdana" w:eastAsia="Times New Roman" w:hAnsi="Verdana" w:cs="Times New Roman"/>
          <w:sz w:val="20"/>
          <w:szCs w:val="20"/>
          <w:lang w:eastAsia="ar-SA"/>
        </w:rPr>
        <w:t xml:space="preserve"> è espressamente disciplinat</w:t>
      </w:r>
      <w:r>
        <w:rPr>
          <w:rFonts w:ascii="Verdana" w:eastAsia="Times New Roman" w:hAnsi="Verdana" w:cs="Times New Roman"/>
          <w:sz w:val="20"/>
          <w:szCs w:val="20"/>
          <w:lang w:eastAsia="ar-SA"/>
        </w:rPr>
        <w:t>a</w:t>
      </w:r>
      <w:r w:rsidR="00557EFA">
        <w:rPr>
          <w:rFonts w:ascii="Verdana" w:eastAsia="Times New Roman" w:hAnsi="Verdana" w:cs="Times New Roman"/>
          <w:sz w:val="20"/>
          <w:szCs w:val="20"/>
          <w:lang w:eastAsia="ar-SA"/>
        </w:rPr>
        <w:t xml:space="preserve"> dal codice dei contratti pubblici sulla base del combinato disposto degli artt. 3 lett</w:t>
      </w:r>
      <w:r w:rsidR="001C2E0B">
        <w:rPr>
          <w:rFonts w:ascii="Verdana" w:eastAsia="Times New Roman" w:hAnsi="Verdana" w:cs="Times New Roman"/>
          <w:sz w:val="20"/>
          <w:szCs w:val="20"/>
          <w:lang w:eastAsia="ar-SA"/>
        </w:rPr>
        <w:t>.</w:t>
      </w:r>
      <w:r w:rsidR="00557EFA">
        <w:rPr>
          <w:rFonts w:ascii="Verdana" w:eastAsia="Times New Roman" w:hAnsi="Verdana" w:cs="Times New Roman"/>
          <w:sz w:val="20"/>
          <w:szCs w:val="20"/>
          <w:lang w:eastAsia="ar-SA"/>
        </w:rPr>
        <w:t xml:space="preserve"> e), 180 e 187 d.lgs 50/2017. Per effetto di siffatto reticolato normativo “</w:t>
      </w:r>
      <w:r w:rsidR="00557EFA" w:rsidRPr="00557EFA">
        <w:rPr>
          <w:rFonts w:ascii="Verdana" w:eastAsia="Times New Roman" w:hAnsi="Verdana" w:cs="Times New Roman"/>
          <w:sz w:val="20"/>
          <w:szCs w:val="20"/>
          <w:lang w:eastAsia="ar-SA"/>
        </w:rPr>
        <w:t xml:space="preserve"> </w:t>
      </w:r>
      <w:r w:rsidR="00557EFA" w:rsidRPr="00D14F21">
        <w:rPr>
          <w:rFonts w:ascii="Verdana" w:eastAsia="Times New Roman" w:hAnsi="Verdana" w:cs="Times New Roman"/>
          <w:i/>
          <w:sz w:val="20"/>
          <w:szCs w:val="20"/>
          <w:lang w:eastAsia="ar-SA"/>
        </w:rPr>
        <w:t>la locazione finanziaria per opere di pubblica utilità (leasing in costruendo) cessa di essere un contratto atipico per divenire uno schema negoziale in forza del quale un soggetto abilitato concede in godimento alla pubblica amministrazione un bene immobile (opera pubblica in costruendo) dietro pagamento, da parte di quest’ultima, di un canone periodico per un determinato numero di anni, al termine dei quali la stessa amministrazione ha il diritto di acquisirne la proprietà, pagando un riscatto di importo predeterminato</w:t>
      </w:r>
      <w:r w:rsidR="00557EFA">
        <w:rPr>
          <w:rFonts w:ascii="Verdana" w:eastAsia="Times New Roman" w:hAnsi="Verdana" w:cs="Times New Roman"/>
          <w:sz w:val="20"/>
          <w:szCs w:val="20"/>
          <w:lang w:eastAsia="ar-SA"/>
        </w:rPr>
        <w:t xml:space="preserve">” (Sezione controllo Lombardia delibera n. </w:t>
      </w:r>
      <w:r w:rsidR="00557EFA" w:rsidRPr="00557EFA">
        <w:rPr>
          <w:rFonts w:ascii="Verdana" w:eastAsia="Times New Roman" w:hAnsi="Verdana" w:cs="Times New Roman"/>
          <w:sz w:val="20"/>
          <w:szCs w:val="20"/>
          <w:lang w:eastAsia="ar-SA"/>
        </w:rPr>
        <w:t>227/2017/PAR</w:t>
      </w:r>
      <w:r w:rsidR="00557EFA">
        <w:rPr>
          <w:rFonts w:ascii="Verdana" w:eastAsia="Times New Roman" w:hAnsi="Verdana" w:cs="Times New Roman"/>
          <w:sz w:val="20"/>
          <w:szCs w:val="20"/>
          <w:lang w:eastAsia="ar-SA"/>
        </w:rPr>
        <w:t>)</w:t>
      </w:r>
      <w:r w:rsidR="00557EFA" w:rsidRPr="00557EFA">
        <w:rPr>
          <w:rFonts w:ascii="Verdana" w:eastAsia="Times New Roman" w:hAnsi="Verdana" w:cs="Times New Roman"/>
          <w:sz w:val="20"/>
          <w:szCs w:val="20"/>
          <w:lang w:eastAsia="ar-SA"/>
        </w:rPr>
        <w:t>.</w:t>
      </w:r>
    </w:p>
    <w:p w:rsidR="003230DF" w:rsidRDefault="00D14F21"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 xml:space="preserve">In merito alla qualificazione dell’operazione come indebitamento ed alle conseguenti modalità di contabilizzazione, </w:t>
      </w:r>
      <w:r w:rsidR="003230DF">
        <w:rPr>
          <w:rFonts w:ascii="Verdana" w:eastAsia="Times New Roman" w:hAnsi="Verdana" w:cs="Times New Roman"/>
          <w:sz w:val="20"/>
          <w:szCs w:val="20"/>
          <w:lang w:eastAsia="ar-SA"/>
        </w:rPr>
        <w:t xml:space="preserve">è intervenuta </w:t>
      </w:r>
      <w:r>
        <w:rPr>
          <w:rFonts w:ascii="Verdana" w:eastAsia="Times New Roman" w:hAnsi="Verdana" w:cs="Times New Roman"/>
          <w:sz w:val="20"/>
          <w:szCs w:val="20"/>
          <w:lang w:eastAsia="ar-SA"/>
        </w:rPr>
        <w:t>la</w:t>
      </w:r>
      <w:r w:rsidR="001C2E0B">
        <w:rPr>
          <w:rFonts w:ascii="Verdana" w:eastAsia="Times New Roman" w:hAnsi="Verdana" w:cs="Times New Roman"/>
          <w:sz w:val="20"/>
          <w:szCs w:val="20"/>
          <w:lang w:eastAsia="ar-SA"/>
        </w:rPr>
        <w:t xml:space="preserve"> delibera n.</w:t>
      </w:r>
      <w:r w:rsidR="001C2E0B" w:rsidRPr="001C2E0B">
        <w:rPr>
          <w:rFonts w:ascii="Verdana" w:eastAsia="Times New Roman" w:hAnsi="Verdana" w:cs="Times New Roman"/>
          <w:sz w:val="20"/>
          <w:szCs w:val="20"/>
          <w:lang w:eastAsia="ar-SA"/>
        </w:rPr>
        <w:t>15/SEZAUT/2017/QMIG</w:t>
      </w:r>
      <w:r w:rsidR="001C2E0B">
        <w:rPr>
          <w:rFonts w:ascii="Verdana" w:eastAsia="Times New Roman" w:hAnsi="Verdana" w:cs="Times New Roman"/>
          <w:sz w:val="20"/>
          <w:szCs w:val="20"/>
          <w:lang w:eastAsia="ar-SA"/>
        </w:rPr>
        <w:t xml:space="preserve"> </w:t>
      </w:r>
      <w:r>
        <w:rPr>
          <w:rFonts w:ascii="Verdana" w:eastAsia="Times New Roman" w:hAnsi="Verdana" w:cs="Times New Roman"/>
          <w:sz w:val="20"/>
          <w:szCs w:val="20"/>
          <w:lang w:eastAsia="ar-SA"/>
        </w:rPr>
        <w:t xml:space="preserve">della Sezione delle Autonomie </w:t>
      </w:r>
      <w:r w:rsidR="003230DF">
        <w:rPr>
          <w:rFonts w:ascii="Verdana" w:eastAsia="Times New Roman" w:hAnsi="Verdana" w:cs="Times New Roman"/>
          <w:sz w:val="20"/>
          <w:szCs w:val="20"/>
          <w:lang w:eastAsia="ar-SA"/>
        </w:rPr>
        <w:t xml:space="preserve">(citata anche dal Comune istante) che, coordinando </w:t>
      </w:r>
      <w:r>
        <w:rPr>
          <w:rFonts w:ascii="Verdana" w:eastAsia="Times New Roman" w:hAnsi="Verdana" w:cs="Times New Roman"/>
          <w:sz w:val="20"/>
          <w:szCs w:val="20"/>
          <w:lang w:eastAsia="ar-SA"/>
        </w:rPr>
        <w:t>il disposto dell’art 3, comma 17, l. 350/2003</w:t>
      </w:r>
      <w:r w:rsidR="003230DF">
        <w:rPr>
          <w:rFonts w:ascii="Verdana" w:eastAsia="Times New Roman" w:hAnsi="Verdana" w:cs="Times New Roman"/>
          <w:sz w:val="20"/>
          <w:szCs w:val="20"/>
          <w:lang w:eastAsia="ar-SA"/>
        </w:rPr>
        <w:t xml:space="preserve"> ed il princi</w:t>
      </w:r>
      <w:r w:rsidR="0084011B">
        <w:rPr>
          <w:rFonts w:ascii="Verdana" w:eastAsia="Times New Roman" w:hAnsi="Verdana" w:cs="Times New Roman"/>
          <w:sz w:val="20"/>
          <w:szCs w:val="20"/>
          <w:lang w:eastAsia="ar-SA"/>
        </w:rPr>
        <w:t xml:space="preserve">pio contabile sopra richiamato con la disciplina del nuovo codice dei contratti pubblici ( art 180 d.lgs 50/2016, </w:t>
      </w:r>
      <w:r w:rsidR="00B6541A">
        <w:rPr>
          <w:rFonts w:ascii="Verdana" w:eastAsia="Times New Roman" w:hAnsi="Verdana" w:cs="Times New Roman"/>
          <w:sz w:val="20"/>
          <w:szCs w:val="20"/>
          <w:lang w:eastAsia="ar-SA"/>
        </w:rPr>
        <w:t xml:space="preserve"> l’art 3 lett </w:t>
      </w:r>
      <w:r w:rsidR="003230DF">
        <w:rPr>
          <w:rFonts w:ascii="Verdana" w:eastAsia="Times New Roman" w:hAnsi="Verdana" w:cs="Times New Roman"/>
          <w:sz w:val="20"/>
          <w:szCs w:val="20"/>
          <w:lang w:eastAsia="ar-SA"/>
        </w:rPr>
        <w:t xml:space="preserve">e </w:t>
      </w:r>
      <w:r w:rsidR="0084011B">
        <w:rPr>
          <w:rFonts w:ascii="Verdana" w:eastAsia="Times New Roman" w:hAnsi="Verdana" w:cs="Times New Roman"/>
          <w:sz w:val="20"/>
          <w:szCs w:val="20"/>
          <w:lang w:eastAsia="ar-SA"/>
        </w:rPr>
        <w:t xml:space="preserve">del medesimo codice ed i criteri </w:t>
      </w:r>
      <w:proofErr w:type="spellStart"/>
      <w:r w:rsidR="0084011B">
        <w:rPr>
          <w:rFonts w:ascii="Verdana" w:eastAsia="Times New Roman" w:hAnsi="Verdana" w:cs="Times New Roman"/>
          <w:sz w:val="20"/>
          <w:szCs w:val="20"/>
          <w:lang w:eastAsia="ar-SA"/>
        </w:rPr>
        <w:t>Eurostat</w:t>
      </w:r>
      <w:proofErr w:type="spellEnd"/>
      <w:r w:rsidR="0084011B">
        <w:rPr>
          <w:rFonts w:ascii="Verdana" w:eastAsia="Times New Roman" w:hAnsi="Verdana" w:cs="Times New Roman"/>
          <w:sz w:val="20"/>
          <w:szCs w:val="20"/>
          <w:lang w:eastAsia="ar-SA"/>
        </w:rPr>
        <w:t xml:space="preserve"> ivi richiamati</w:t>
      </w:r>
      <w:r w:rsidR="003230DF">
        <w:rPr>
          <w:rFonts w:ascii="Verdana" w:eastAsia="Times New Roman" w:hAnsi="Verdana" w:cs="Times New Roman"/>
          <w:sz w:val="20"/>
          <w:szCs w:val="20"/>
          <w:lang w:eastAsia="ar-SA"/>
        </w:rPr>
        <w:t xml:space="preserve">), </w:t>
      </w:r>
      <w:r w:rsidR="0084011B">
        <w:rPr>
          <w:rFonts w:ascii="Verdana" w:eastAsia="Times New Roman" w:hAnsi="Verdana" w:cs="Times New Roman"/>
          <w:sz w:val="20"/>
          <w:szCs w:val="20"/>
          <w:lang w:eastAsia="ar-SA"/>
        </w:rPr>
        <w:t>ha sancito: “</w:t>
      </w:r>
      <w:r w:rsidR="0084011B" w:rsidRPr="0084011B">
        <w:rPr>
          <w:rFonts w:ascii="Verdana" w:eastAsia="Times New Roman" w:hAnsi="Verdana" w:cs="Times New Roman"/>
          <w:i/>
          <w:sz w:val="20"/>
          <w:szCs w:val="20"/>
          <w:lang w:eastAsia="ar-SA"/>
        </w:rPr>
        <w:t>le procedure di realizzazione in partenariato di opere e servizi pubblici sono state sistematizzate nel nuovo codice dei contratti pubblici, per cui l’art. 3, comma 17, l. n. 350/2003 e l’esplicitazione che ne fa il punto 3.25 del principio contabile applicato vanno letti anche in combinato disposto con le disposizioni conte</w:t>
      </w:r>
      <w:r w:rsidR="00B6541A">
        <w:rPr>
          <w:rFonts w:ascii="Verdana" w:eastAsia="Times New Roman" w:hAnsi="Verdana" w:cs="Times New Roman"/>
          <w:i/>
          <w:sz w:val="20"/>
          <w:szCs w:val="20"/>
          <w:lang w:eastAsia="ar-SA"/>
        </w:rPr>
        <w:t xml:space="preserve">nute negli art. 3, co. 1 lett. </w:t>
      </w:r>
      <w:r w:rsidR="0084011B" w:rsidRPr="0084011B">
        <w:rPr>
          <w:rFonts w:ascii="Verdana" w:eastAsia="Times New Roman" w:hAnsi="Verdana" w:cs="Times New Roman"/>
          <w:i/>
          <w:sz w:val="20"/>
          <w:szCs w:val="20"/>
          <w:lang w:eastAsia="ar-SA"/>
        </w:rPr>
        <w:t xml:space="preserve">e) e 180 del predetto codice che hanno codificato, rispettivamente, la causa ed il regolamento negoziale generale delle operazioni di partenariato. In particolare rileva l’art. 180 che, nel declinare il regolamento negoziale tipico del partenariato in conformità all’art. 3 comma 1 lett. e), statuisce </w:t>
      </w:r>
      <w:r w:rsidR="0084011B" w:rsidRPr="0084011B">
        <w:rPr>
          <w:rFonts w:ascii="Verdana" w:eastAsia="Times New Roman" w:hAnsi="Verdana" w:cs="Times New Roman"/>
          <w:i/>
          <w:sz w:val="20"/>
          <w:szCs w:val="20"/>
          <w:lang w:eastAsia="ar-SA"/>
        </w:rPr>
        <w:lastRenderedPageBreak/>
        <w:t xml:space="preserve">che il trasferimento del rischio in capo all’operatore economico, nel rispetto dell’equilibrio economico del contratto, comporta l’allocazione a quest’ultimo, oltre che del rischio di costruzione, anche del rischio di disponibilità o, nei casi di attività redditizia verso l’esterno, del rischio di domanda dei servizi resi. I contratti nei quali l’allocazione dei rischi rimane in capo all’operatore economico privato, in coerenza con i principi dettati da </w:t>
      </w:r>
      <w:proofErr w:type="spellStart"/>
      <w:r w:rsidR="0084011B" w:rsidRPr="0084011B">
        <w:rPr>
          <w:rFonts w:ascii="Verdana" w:eastAsia="Times New Roman" w:hAnsi="Verdana" w:cs="Times New Roman"/>
          <w:i/>
          <w:sz w:val="20"/>
          <w:szCs w:val="20"/>
          <w:lang w:eastAsia="ar-SA"/>
        </w:rPr>
        <w:t>Eurostat</w:t>
      </w:r>
      <w:proofErr w:type="spellEnd"/>
      <w:r w:rsidR="0084011B" w:rsidRPr="0084011B">
        <w:rPr>
          <w:rFonts w:ascii="Verdana" w:eastAsia="Times New Roman" w:hAnsi="Verdana" w:cs="Times New Roman"/>
          <w:i/>
          <w:sz w:val="20"/>
          <w:szCs w:val="20"/>
          <w:lang w:eastAsia="ar-SA"/>
        </w:rPr>
        <w:t>, non devono essere registrati come debiti.</w:t>
      </w:r>
      <w:r w:rsidR="0084011B">
        <w:rPr>
          <w:rFonts w:ascii="Verdana" w:eastAsia="Times New Roman" w:hAnsi="Verdana" w:cs="Times New Roman"/>
          <w:i/>
          <w:sz w:val="20"/>
          <w:szCs w:val="20"/>
          <w:lang w:eastAsia="ar-SA"/>
        </w:rPr>
        <w:t>”</w:t>
      </w:r>
    </w:p>
    <w:p w:rsidR="00DF4789" w:rsidRDefault="0084011B"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Alla luce dei principi sopra enunciati, pertanto, “</w:t>
      </w:r>
      <w:r w:rsidRPr="00D14F21">
        <w:rPr>
          <w:rFonts w:ascii="Verdana" w:eastAsia="Times New Roman" w:hAnsi="Verdana" w:cs="Times New Roman"/>
          <w:i/>
          <w:sz w:val="20"/>
          <w:szCs w:val="20"/>
          <w:lang w:eastAsia="ar-SA"/>
        </w:rPr>
        <w:t>Elemento discriminante per la qualificazione di contratto di PPP non rilevante ai fini dell’indebitamento è l’espressa pattuizione dell’assunzione dei rischi da parte dell’operatore economico</w:t>
      </w:r>
      <w:r w:rsidRPr="0084011B">
        <w:rPr>
          <w:rFonts w:ascii="Verdana" w:eastAsia="Times New Roman" w:hAnsi="Verdana" w:cs="Times New Roman"/>
          <w:sz w:val="20"/>
          <w:szCs w:val="20"/>
          <w:lang w:eastAsia="ar-SA"/>
        </w:rPr>
        <w:t xml:space="preserve">. </w:t>
      </w:r>
      <w:r>
        <w:rPr>
          <w:rFonts w:ascii="Verdana" w:eastAsia="Times New Roman" w:hAnsi="Verdana" w:cs="Times New Roman"/>
          <w:sz w:val="20"/>
          <w:szCs w:val="20"/>
          <w:lang w:eastAsia="ar-SA"/>
        </w:rPr>
        <w:t>“</w:t>
      </w:r>
      <w:r w:rsidR="00D14F21">
        <w:rPr>
          <w:rFonts w:ascii="Verdana" w:eastAsia="Times New Roman" w:hAnsi="Verdana" w:cs="Times New Roman"/>
          <w:sz w:val="20"/>
          <w:szCs w:val="20"/>
          <w:lang w:eastAsia="ar-SA"/>
        </w:rPr>
        <w:t xml:space="preserve">. </w:t>
      </w:r>
    </w:p>
    <w:p w:rsidR="0084011B" w:rsidRDefault="00D14F21"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In altre parole, è essenziale che rimanga a carico dell’operatore privato non</w:t>
      </w:r>
      <w:r w:rsidR="00DF4789">
        <w:rPr>
          <w:rFonts w:ascii="Verdana" w:eastAsia="Times New Roman" w:hAnsi="Verdana" w:cs="Times New Roman"/>
          <w:sz w:val="20"/>
          <w:szCs w:val="20"/>
          <w:lang w:eastAsia="ar-SA"/>
        </w:rPr>
        <w:t xml:space="preserve"> solo il rischio di costruzione, ma anche il rischio di disponibilità o, in caso di attività redditizia verso l’esterno, il rischio di domanda, </w:t>
      </w:r>
      <w:r w:rsidR="00B6541A">
        <w:rPr>
          <w:rFonts w:ascii="Verdana" w:eastAsia="Times New Roman" w:hAnsi="Verdana" w:cs="Times New Roman"/>
          <w:sz w:val="20"/>
          <w:szCs w:val="20"/>
          <w:lang w:eastAsia="ar-SA"/>
        </w:rPr>
        <w:t xml:space="preserve">come definiti dall’art 3 lett </w:t>
      </w:r>
      <w:r w:rsidR="00DF4789">
        <w:rPr>
          <w:rFonts w:ascii="Verdana" w:eastAsia="Times New Roman" w:hAnsi="Verdana" w:cs="Times New Roman"/>
          <w:sz w:val="20"/>
          <w:szCs w:val="20"/>
          <w:lang w:eastAsia="ar-SA"/>
        </w:rPr>
        <w:t>b) e lett ccc) d.lgs 50/2016.</w:t>
      </w:r>
    </w:p>
    <w:p w:rsidR="00C21D78" w:rsidRDefault="00DF4789"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La concreta allocazione dei rischi sopra enunciati non può che dipende</w:t>
      </w:r>
      <w:r w:rsidR="000505AF">
        <w:rPr>
          <w:rFonts w:ascii="Verdana" w:eastAsia="Times New Roman" w:hAnsi="Verdana" w:cs="Times New Roman"/>
          <w:sz w:val="20"/>
          <w:szCs w:val="20"/>
          <w:lang w:eastAsia="ar-SA"/>
        </w:rPr>
        <w:t xml:space="preserve">re dallo specifico contenuto del regolamento negoziale che costituisce lo strumento attraverso il quale viene </w:t>
      </w:r>
      <w:r w:rsidR="003967CF">
        <w:rPr>
          <w:rFonts w:ascii="Verdana" w:eastAsia="Times New Roman" w:hAnsi="Verdana" w:cs="Times New Roman"/>
          <w:sz w:val="20"/>
          <w:szCs w:val="20"/>
          <w:lang w:eastAsia="ar-SA"/>
        </w:rPr>
        <w:t xml:space="preserve">manovrata la leva </w:t>
      </w:r>
      <w:r w:rsidR="000505AF">
        <w:rPr>
          <w:rFonts w:ascii="Verdana" w:eastAsia="Times New Roman" w:hAnsi="Verdana" w:cs="Times New Roman"/>
          <w:sz w:val="20"/>
          <w:szCs w:val="20"/>
          <w:lang w:eastAsia="ar-SA"/>
        </w:rPr>
        <w:t>del rischio</w:t>
      </w:r>
      <w:r w:rsidR="003967CF">
        <w:rPr>
          <w:rFonts w:ascii="Verdana" w:eastAsia="Times New Roman" w:hAnsi="Verdana" w:cs="Times New Roman"/>
          <w:sz w:val="20"/>
          <w:szCs w:val="20"/>
          <w:lang w:eastAsia="ar-SA"/>
        </w:rPr>
        <w:t>, spostandola</w:t>
      </w:r>
      <w:r w:rsidR="000505AF">
        <w:rPr>
          <w:rFonts w:ascii="Verdana" w:eastAsia="Times New Roman" w:hAnsi="Verdana" w:cs="Times New Roman"/>
          <w:sz w:val="20"/>
          <w:szCs w:val="20"/>
          <w:lang w:eastAsia="ar-SA"/>
        </w:rPr>
        <w:t xml:space="preserve"> a carico del contraen</w:t>
      </w:r>
      <w:r w:rsidR="00C21D78">
        <w:rPr>
          <w:rFonts w:ascii="Verdana" w:eastAsia="Times New Roman" w:hAnsi="Verdana" w:cs="Times New Roman"/>
          <w:sz w:val="20"/>
          <w:szCs w:val="20"/>
          <w:lang w:eastAsia="ar-SA"/>
        </w:rPr>
        <w:t>te pubblico o di quello privato</w:t>
      </w:r>
      <w:r w:rsidR="003967CF">
        <w:rPr>
          <w:rFonts w:ascii="Verdana" w:eastAsia="Times New Roman" w:hAnsi="Verdana" w:cs="Times New Roman"/>
          <w:sz w:val="20"/>
          <w:szCs w:val="20"/>
          <w:lang w:eastAsia="ar-SA"/>
        </w:rPr>
        <w:t xml:space="preserve"> e</w:t>
      </w:r>
      <w:r w:rsidR="00C21D78">
        <w:rPr>
          <w:rFonts w:ascii="Verdana" w:eastAsia="Times New Roman" w:hAnsi="Verdana" w:cs="Times New Roman"/>
          <w:sz w:val="20"/>
          <w:szCs w:val="20"/>
          <w:lang w:eastAsia="ar-SA"/>
        </w:rPr>
        <w:t xml:space="preserve"> determinando</w:t>
      </w:r>
      <w:r w:rsidR="003967CF">
        <w:rPr>
          <w:rFonts w:ascii="Verdana" w:eastAsia="Times New Roman" w:hAnsi="Verdana" w:cs="Times New Roman"/>
          <w:sz w:val="20"/>
          <w:szCs w:val="20"/>
          <w:lang w:eastAsia="ar-SA"/>
        </w:rPr>
        <w:t>, di conseguenza,</w:t>
      </w:r>
      <w:r w:rsidR="00C21D78">
        <w:rPr>
          <w:rFonts w:ascii="Verdana" w:eastAsia="Times New Roman" w:hAnsi="Verdana" w:cs="Times New Roman"/>
          <w:sz w:val="20"/>
          <w:szCs w:val="20"/>
          <w:lang w:eastAsia="ar-SA"/>
        </w:rPr>
        <w:t xml:space="preserve"> la qualificazione o meno dell’intera operazione come indebitamento.</w:t>
      </w:r>
    </w:p>
    <w:p w:rsidR="00DF4789" w:rsidRDefault="00C21D78"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E’ pertanto necessario che “</w:t>
      </w:r>
      <w:r w:rsidRPr="003967CF">
        <w:rPr>
          <w:rFonts w:ascii="Verdana" w:eastAsia="Times New Roman" w:hAnsi="Verdana" w:cs="Times New Roman"/>
          <w:i/>
          <w:sz w:val="20"/>
          <w:szCs w:val="20"/>
          <w:lang w:eastAsia="ar-SA"/>
        </w:rPr>
        <w:t>l’amministrazione, previa valutazione della convenienza ed economicità dell’operazione, (…) dimostri rigorosamente che i rischi siano allocati in capo al contraente privato, coerentemente con le indicazioni comunitarie. Ciò dovrà risultare sia negli atti preparatori del contratto, sia in modo chiaro e puntuale nel contratto redatto ai sensi dell’art. 180 del codice. Non è sufficiente, insomma, che un contratto venga nominalmente qualificato come contratto di partenariato pubblico privato, né che vi siano clausole di mero stile ma prive di chiaro contenuto esplicativo dei rischi e della loro allocazione tra le parti per escluderne l’</w:t>
      </w:r>
      <w:proofErr w:type="spellStart"/>
      <w:r w:rsidRPr="003967CF">
        <w:rPr>
          <w:rFonts w:ascii="Verdana" w:eastAsia="Times New Roman" w:hAnsi="Verdana" w:cs="Times New Roman"/>
          <w:i/>
          <w:sz w:val="20"/>
          <w:szCs w:val="20"/>
          <w:lang w:eastAsia="ar-SA"/>
        </w:rPr>
        <w:t>annoverazione</w:t>
      </w:r>
      <w:proofErr w:type="spellEnd"/>
      <w:r w:rsidRPr="003967CF">
        <w:rPr>
          <w:rFonts w:ascii="Verdana" w:eastAsia="Times New Roman" w:hAnsi="Verdana" w:cs="Times New Roman"/>
          <w:i/>
          <w:sz w:val="20"/>
          <w:szCs w:val="20"/>
          <w:lang w:eastAsia="ar-SA"/>
        </w:rPr>
        <w:t xml:space="preserve"> tra le fonti di indebitamento, con quello che ne consegue in termini di modalità di contabilizzazione, di computo ai fini del calcolo del tetto del debito massimo ammissibile, di responsabilità per quanti contribuiscano a porre in essere atti negoziali elusivi del limite di indebitamento</w:t>
      </w:r>
      <w:r>
        <w:rPr>
          <w:rFonts w:ascii="Verdana" w:eastAsia="Times New Roman" w:hAnsi="Verdana" w:cs="Times New Roman"/>
          <w:sz w:val="20"/>
          <w:szCs w:val="20"/>
          <w:lang w:eastAsia="ar-SA"/>
        </w:rPr>
        <w:t>”</w:t>
      </w:r>
      <w:r w:rsidR="003967CF">
        <w:rPr>
          <w:rFonts w:ascii="Verdana" w:eastAsia="Times New Roman" w:hAnsi="Verdana" w:cs="Times New Roman"/>
          <w:sz w:val="20"/>
          <w:szCs w:val="20"/>
          <w:lang w:eastAsia="ar-SA"/>
        </w:rPr>
        <w:t xml:space="preserve"> (cfr. Sezione delle Autonomie delibera n. 15, cit.)</w:t>
      </w:r>
      <w:r>
        <w:rPr>
          <w:rFonts w:ascii="Verdana" w:eastAsia="Times New Roman" w:hAnsi="Verdana" w:cs="Times New Roman"/>
          <w:sz w:val="20"/>
          <w:szCs w:val="20"/>
          <w:lang w:eastAsia="ar-SA"/>
        </w:rPr>
        <w:t>.</w:t>
      </w:r>
    </w:p>
    <w:p w:rsidR="00557F40" w:rsidRDefault="00C21D78" w:rsidP="00B13628">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 xml:space="preserve">Questa Corte, in sede consultiva, non può spingersi </w:t>
      </w:r>
      <w:r w:rsidR="00613765">
        <w:rPr>
          <w:rFonts w:ascii="Verdana" w:eastAsia="Times New Roman" w:hAnsi="Verdana" w:cs="Times New Roman"/>
          <w:sz w:val="20"/>
          <w:szCs w:val="20"/>
          <w:lang w:eastAsia="ar-SA"/>
        </w:rPr>
        <w:t xml:space="preserve">fino </w:t>
      </w:r>
      <w:r w:rsidR="003967CF">
        <w:rPr>
          <w:rFonts w:ascii="Verdana" w:eastAsia="Times New Roman" w:hAnsi="Verdana" w:cs="Times New Roman"/>
          <w:sz w:val="20"/>
          <w:szCs w:val="20"/>
          <w:lang w:eastAsia="ar-SA"/>
        </w:rPr>
        <w:t>ad un’analisi</w:t>
      </w:r>
      <w:r>
        <w:rPr>
          <w:rFonts w:ascii="Verdana" w:eastAsia="Times New Roman" w:hAnsi="Verdana" w:cs="Times New Roman"/>
          <w:sz w:val="20"/>
          <w:szCs w:val="20"/>
          <w:lang w:eastAsia="ar-SA"/>
        </w:rPr>
        <w:t xml:space="preserve"> della concreta opera</w:t>
      </w:r>
      <w:r w:rsidR="00613765">
        <w:rPr>
          <w:rFonts w:ascii="Verdana" w:eastAsia="Times New Roman" w:hAnsi="Verdana" w:cs="Times New Roman"/>
          <w:sz w:val="20"/>
          <w:szCs w:val="20"/>
          <w:lang w:eastAsia="ar-SA"/>
        </w:rPr>
        <w:t>zione economica posta in essere;</w:t>
      </w:r>
      <w:r>
        <w:rPr>
          <w:rFonts w:ascii="Verdana" w:eastAsia="Times New Roman" w:hAnsi="Verdana" w:cs="Times New Roman"/>
          <w:sz w:val="20"/>
          <w:szCs w:val="20"/>
          <w:lang w:eastAsia="ar-SA"/>
        </w:rPr>
        <w:t xml:space="preserve"> </w:t>
      </w:r>
      <w:r w:rsidR="00613765">
        <w:rPr>
          <w:rFonts w:ascii="Verdana" w:eastAsia="Times New Roman" w:hAnsi="Verdana" w:cs="Times New Roman"/>
          <w:sz w:val="20"/>
          <w:szCs w:val="20"/>
          <w:lang w:eastAsia="ar-SA"/>
        </w:rPr>
        <w:t xml:space="preserve">si </w:t>
      </w:r>
      <w:r>
        <w:rPr>
          <w:rFonts w:ascii="Verdana" w:eastAsia="Times New Roman" w:hAnsi="Verdana" w:cs="Times New Roman"/>
          <w:sz w:val="20"/>
          <w:szCs w:val="20"/>
          <w:lang w:eastAsia="ar-SA"/>
        </w:rPr>
        <w:t>sottolinea</w:t>
      </w:r>
      <w:r w:rsidR="003967CF">
        <w:rPr>
          <w:rFonts w:ascii="Verdana" w:eastAsia="Times New Roman" w:hAnsi="Verdana" w:cs="Times New Roman"/>
          <w:sz w:val="20"/>
          <w:szCs w:val="20"/>
          <w:lang w:eastAsia="ar-SA"/>
        </w:rPr>
        <w:t>, tuttavia,</w:t>
      </w:r>
      <w:r>
        <w:rPr>
          <w:rFonts w:ascii="Verdana" w:eastAsia="Times New Roman" w:hAnsi="Verdana" w:cs="Times New Roman"/>
          <w:sz w:val="20"/>
          <w:szCs w:val="20"/>
          <w:lang w:eastAsia="ar-SA"/>
        </w:rPr>
        <w:t xml:space="preserve"> come, alla luce dei principi sopra richiamati, non </w:t>
      </w:r>
      <w:r w:rsidR="003967CF">
        <w:rPr>
          <w:rFonts w:ascii="Verdana" w:eastAsia="Times New Roman" w:hAnsi="Verdana" w:cs="Times New Roman"/>
          <w:sz w:val="20"/>
          <w:szCs w:val="20"/>
          <w:lang w:eastAsia="ar-SA"/>
        </w:rPr>
        <w:t>sia</w:t>
      </w:r>
      <w:r>
        <w:rPr>
          <w:rFonts w:ascii="Verdana" w:eastAsia="Times New Roman" w:hAnsi="Verdana" w:cs="Times New Roman"/>
          <w:sz w:val="20"/>
          <w:szCs w:val="20"/>
          <w:lang w:eastAsia="ar-SA"/>
        </w:rPr>
        <w:t xml:space="preserve"> sufficiente</w:t>
      </w:r>
      <w:r w:rsidR="003967CF">
        <w:rPr>
          <w:rFonts w:ascii="Verdana" w:eastAsia="Times New Roman" w:hAnsi="Verdana" w:cs="Times New Roman"/>
          <w:sz w:val="20"/>
          <w:szCs w:val="20"/>
          <w:lang w:eastAsia="ar-SA"/>
        </w:rPr>
        <w:t>,</w:t>
      </w:r>
      <w:r>
        <w:rPr>
          <w:rFonts w:ascii="Verdana" w:eastAsia="Times New Roman" w:hAnsi="Verdana" w:cs="Times New Roman"/>
          <w:sz w:val="20"/>
          <w:szCs w:val="20"/>
          <w:lang w:eastAsia="ar-SA"/>
        </w:rPr>
        <w:t xml:space="preserve"> ai fini dell’esclusione dell’operazione dall’indebitamento</w:t>
      </w:r>
      <w:r w:rsidR="003967CF">
        <w:rPr>
          <w:rFonts w:ascii="Verdana" w:eastAsia="Times New Roman" w:hAnsi="Verdana" w:cs="Times New Roman"/>
          <w:sz w:val="20"/>
          <w:szCs w:val="20"/>
          <w:lang w:eastAsia="ar-SA"/>
        </w:rPr>
        <w:t>,</w:t>
      </w:r>
      <w:r>
        <w:rPr>
          <w:rFonts w:ascii="Verdana" w:eastAsia="Times New Roman" w:hAnsi="Verdana" w:cs="Times New Roman"/>
          <w:sz w:val="20"/>
          <w:szCs w:val="20"/>
          <w:lang w:eastAsia="ar-SA"/>
        </w:rPr>
        <w:t xml:space="preserve"> la semplice assunzione </w:t>
      </w:r>
      <w:r w:rsidR="003967CF">
        <w:rPr>
          <w:rFonts w:ascii="Verdana" w:eastAsia="Times New Roman" w:hAnsi="Verdana" w:cs="Times New Roman"/>
          <w:sz w:val="20"/>
          <w:szCs w:val="20"/>
          <w:lang w:eastAsia="ar-SA"/>
        </w:rPr>
        <w:t>da parte dell’</w:t>
      </w:r>
      <w:r>
        <w:rPr>
          <w:rFonts w:ascii="Verdana" w:eastAsia="Times New Roman" w:hAnsi="Verdana" w:cs="Times New Roman"/>
          <w:sz w:val="20"/>
          <w:szCs w:val="20"/>
          <w:lang w:eastAsia="ar-SA"/>
        </w:rPr>
        <w:t>operatore privato del rischio di costruzione, essendo necessario che rimanga</w:t>
      </w:r>
      <w:r w:rsidR="00613765">
        <w:rPr>
          <w:rFonts w:ascii="Verdana" w:eastAsia="Times New Roman" w:hAnsi="Verdana" w:cs="Times New Roman"/>
          <w:sz w:val="20"/>
          <w:szCs w:val="20"/>
          <w:lang w:eastAsia="ar-SA"/>
        </w:rPr>
        <w:t>no</w:t>
      </w:r>
      <w:r>
        <w:rPr>
          <w:rFonts w:ascii="Verdana" w:eastAsia="Times New Roman" w:hAnsi="Verdana" w:cs="Times New Roman"/>
          <w:sz w:val="20"/>
          <w:szCs w:val="20"/>
          <w:lang w:eastAsia="ar-SA"/>
        </w:rPr>
        <w:t xml:space="preserve"> </w:t>
      </w:r>
      <w:r w:rsidR="003967CF">
        <w:rPr>
          <w:rFonts w:ascii="Verdana" w:eastAsia="Times New Roman" w:hAnsi="Verdana" w:cs="Times New Roman"/>
          <w:sz w:val="20"/>
          <w:szCs w:val="20"/>
          <w:lang w:eastAsia="ar-SA"/>
        </w:rPr>
        <w:t xml:space="preserve">a </w:t>
      </w:r>
      <w:r>
        <w:rPr>
          <w:rFonts w:ascii="Verdana" w:eastAsia="Times New Roman" w:hAnsi="Verdana" w:cs="Times New Roman"/>
          <w:sz w:val="20"/>
          <w:szCs w:val="20"/>
          <w:lang w:eastAsia="ar-SA"/>
        </w:rPr>
        <w:t xml:space="preserve">carico del predetto </w:t>
      </w:r>
      <w:r w:rsidR="00613765">
        <w:rPr>
          <w:rFonts w:ascii="Verdana" w:eastAsia="Times New Roman" w:hAnsi="Verdana" w:cs="Times New Roman"/>
          <w:sz w:val="20"/>
          <w:szCs w:val="20"/>
          <w:lang w:eastAsia="ar-SA"/>
        </w:rPr>
        <w:t xml:space="preserve">anche </w:t>
      </w:r>
      <w:r w:rsidR="009C39CC">
        <w:rPr>
          <w:rFonts w:ascii="Verdana" w:eastAsia="Times New Roman" w:hAnsi="Verdana" w:cs="Times New Roman"/>
          <w:sz w:val="20"/>
          <w:szCs w:val="20"/>
          <w:lang w:eastAsia="ar-SA"/>
        </w:rPr>
        <w:t>l’altro rischio</w:t>
      </w:r>
      <w:r>
        <w:rPr>
          <w:rFonts w:ascii="Verdana" w:eastAsia="Times New Roman" w:hAnsi="Verdana" w:cs="Times New Roman"/>
          <w:sz w:val="20"/>
          <w:szCs w:val="20"/>
          <w:lang w:eastAsia="ar-SA"/>
        </w:rPr>
        <w:t xml:space="preserve"> che connota l’operazione, il rischio di disponibilità o il rischio di domanda: il regolamento contrattuale dovrà, pertanto, </w:t>
      </w:r>
      <w:r w:rsidR="003967CF">
        <w:rPr>
          <w:rFonts w:ascii="Verdana" w:eastAsia="Times New Roman" w:hAnsi="Verdana" w:cs="Times New Roman"/>
          <w:sz w:val="20"/>
          <w:szCs w:val="20"/>
          <w:lang w:eastAsia="ar-SA"/>
        </w:rPr>
        <w:t xml:space="preserve">essere conformemente </w:t>
      </w:r>
      <w:r w:rsidR="000E23C2">
        <w:rPr>
          <w:rFonts w:ascii="Verdana" w:eastAsia="Times New Roman" w:hAnsi="Verdana" w:cs="Times New Roman"/>
          <w:sz w:val="20"/>
          <w:szCs w:val="20"/>
          <w:lang w:eastAsia="ar-SA"/>
        </w:rPr>
        <w:t>determinato</w:t>
      </w:r>
      <w:r w:rsidR="003967CF">
        <w:rPr>
          <w:rFonts w:ascii="Verdana" w:eastAsia="Times New Roman" w:hAnsi="Verdana" w:cs="Times New Roman"/>
          <w:sz w:val="20"/>
          <w:szCs w:val="20"/>
          <w:lang w:eastAsia="ar-SA"/>
        </w:rPr>
        <w:t>.</w:t>
      </w:r>
    </w:p>
    <w:p w:rsidR="001160B3" w:rsidRPr="005436A2" w:rsidRDefault="003967CF" w:rsidP="001160B3">
      <w:pPr>
        <w:tabs>
          <w:tab w:val="left" w:pos="0"/>
        </w:tabs>
        <w:suppressAutoHyphens/>
        <w:spacing w:after="0" w:line="360" w:lineRule="auto"/>
        <w:ind w:right="-54"/>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In conclusione “</w:t>
      </w:r>
      <w:r w:rsidRPr="003967CF">
        <w:rPr>
          <w:rFonts w:ascii="Verdana" w:eastAsia="Times New Roman" w:hAnsi="Verdana" w:cs="Times New Roman"/>
          <w:i/>
          <w:sz w:val="20"/>
          <w:szCs w:val="20"/>
          <w:lang w:eastAsia="ar-SA"/>
        </w:rPr>
        <w:t>Alla luce dei principi appena indicati dalla Sezione Autonomie,  il comune dovrà valutare in concreto se il caso rappresentato sia sussumibile nelle operazione di indebitamento ovvero corrisponda allo schema negoziale tipico del partenariato e l’assetto della regolamentazione contrattuale rispetti  i criteri di cui all’art.180 del decr</w:t>
      </w:r>
      <w:r w:rsidR="00B6541A">
        <w:rPr>
          <w:rFonts w:ascii="Verdana" w:eastAsia="Times New Roman" w:hAnsi="Verdana" w:cs="Times New Roman"/>
          <w:i/>
          <w:sz w:val="20"/>
          <w:szCs w:val="20"/>
          <w:lang w:eastAsia="ar-SA"/>
        </w:rPr>
        <w:t xml:space="preserve">eto legislativo 50/2016 e </w:t>
      </w:r>
      <w:proofErr w:type="spellStart"/>
      <w:r w:rsidR="00B6541A">
        <w:rPr>
          <w:rFonts w:ascii="Verdana" w:eastAsia="Times New Roman" w:hAnsi="Verdana" w:cs="Times New Roman"/>
          <w:i/>
          <w:sz w:val="20"/>
          <w:szCs w:val="20"/>
          <w:lang w:eastAsia="ar-SA"/>
        </w:rPr>
        <w:t>s.m.i</w:t>
      </w:r>
      <w:r w:rsidRPr="003967CF">
        <w:rPr>
          <w:rFonts w:ascii="Verdana" w:eastAsia="Times New Roman" w:hAnsi="Verdana" w:cs="Times New Roman"/>
          <w:i/>
          <w:sz w:val="20"/>
          <w:szCs w:val="20"/>
          <w:lang w:eastAsia="ar-SA"/>
        </w:rPr>
        <w:t>.</w:t>
      </w:r>
      <w:proofErr w:type="spellEnd"/>
      <w:r w:rsidRPr="003967CF">
        <w:rPr>
          <w:rFonts w:ascii="Verdana" w:eastAsia="Times New Roman" w:hAnsi="Verdana" w:cs="Times New Roman"/>
          <w:i/>
          <w:sz w:val="20"/>
          <w:szCs w:val="20"/>
          <w:lang w:eastAsia="ar-SA"/>
        </w:rPr>
        <w:t xml:space="preserve">, significando che l’elemento decisivo ai fini dell’esclusione dall’indebitamento del </w:t>
      </w:r>
      <w:r w:rsidRPr="003967CF">
        <w:rPr>
          <w:rFonts w:ascii="Verdana" w:eastAsia="Times New Roman" w:hAnsi="Verdana" w:cs="Times New Roman"/>
          <w:i/>
          <w:sz w:val="20"/>
          <w:szCs w:val="20"/>
          <w:lang w:eastAsia="ar-SA"/>
        </w:rPr>
        <w:lastRenderedPageBreak/>
        <w:t>contratto di PPP è  la prevalente assunzione dei rischi a carico dell’operatore economico.</w:t>
      </w:r>
      <w:r>
        <w:rPr>
          <w:rFonts w:ascii="Verdana" w:eastAsia="Times New Roman" w:hAnsi="Verdana" w:cs="Times New Roman"/>
          <w:i/>
          <w:sz w:val="20"/>
          <w:szCs w:val="20"/>
          <w:lang w:eastAsia="ar-SA"/>
        </w:rPr>
        <w:t xml:space="preserve">” </w:t>
      </w:r>
      <w:r>
        <w:rPr>
          <w:rFonts w:ascii="Verdana" w:eastAsia="Times New Roman" w:hAnsi="Verdana" w:cs="Times New Roman"/>
          <w:sz w:val="20"/>
          <w:szCs w:val="20"/>
          <w:lang w:eastAsia="ar-SA"/>
        </w:rPr>
        <w:t>(Sezione controllo Lombardia, delibera n. 227 cit.)</w:t>
      </w:r>
      <w:r w:rsidR="005436A2">
        <w:rPr>
          <w:rFonts w:ascii="Verdana" w:eastAsia="Times New Roman" w:hAnsi="Verdana" w:cs="Times New Roman"/>
          <w:sz w:val="20"/>
          <w:szCs w:val="20"/>
          <w:lang w:eastAsia="ar-SA"/>
        </w:rPr>
        <w:t>.</w:t>
      </w:r>
    </w:p>
    <w:p w:rsidR="00394EB5" w:rsidRPr="00394EB5" w:rsidRDefault="00394EB5" w:rsidP="00394EB5">
      <w:pPr>
        <w:tabs>
          <w:tab w:val="left" w:pos="0"/>
        </w:tabs>
        <w:suppressAutoHyphens/>
        <w:spacing w:after="0" w:line="360" w:lineRule="auto"/>
        <w:ind w:right="-54"/>
        <w:jc w:val="center"/>
        <w:rPr>
          <w:rFonts w:ascii="Verdana" w:eastAsia="Times New Roman" w:hAnsi="Verdana" w:cs="Times New Roman"/>
          <w:sz w:val="20"/>
          <w:szCs w:val="20"/>
          <w:lang w:eastAsia="ar-SA"/>
        </w:rPr>
      </w:pPr>
      <w:r w:rsidRPr="00394EB5">
        <w:rPr>
          <w:rFonts w:ascii="Verdana" w:eastAsia="Times New Roman" w:hAnsi="Verdana" w:cs="Times New Roman"/>
          <w:sz w:val="20"/>
          <w:szCs w:val="20"/>
          <w:lang w:eastAsia="ar-SA"/>
        </w:rPr>
        <w:t>PQM</w:t>
      </w:r>
    </w:p>
    <w:p w:rsidR="00394EB5" w:rsidRPr="00394EB5" w:rsidRDefault="001160B3" w:rsidP="00394EB5">
      <w:pPr>
        <w:suppressAutoHyphens/>
        <w:spacing w:after="0" w:line="360" w:lineRule="auto"/>
        <w:ind w:right="-54"/>
        <w:jc w:val="both"/>
        <w:rPr>
          <w:rFonts w:ascii="Verdana" w:eastAsia="Times New Roman" w:hAnsi="Verdana" w:cs="Arial"/>
          <w:sz w:val="20"/>
          <w:szCs w:val="20"/>
          <w:lang w:eastAsia="ar-SA"/>
        </w:rPr>
      </w:pPr>
      <w:r>
        <w:rPr>
          <w:rFonts w:ascii="Verdana" w:eastAsia="Times New Roman" w:hAnsi="Verdana" w:cs="Arial"/>
          <w:sz w:val="20"/>
          <w:szCs w:val="20"/>
          <w:lang w:eastAsia="ar-SA"/>
        </w:rPr>
        <w:t>Nelle sopra esposte considerazioni è il parere di questa Corte.</w:t>
      </w:r>
    </w:p>
    <w:p w:rsidR="00394EB5" w:rsidRPr="00394EB5" w:rsidRDefault="00394EB5" w:rsidP="00394EB5">
      <w:pPr>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Dispone che la presente deliberazione venga trasmessa, a cura del preposto al Serviz</w:t>
      </w:r>
      <w:r w:rsidR="00B23E1F">
        <w:rPr>
          <w:rFonts w:ascii="Verdana" w:eastAsia="Times New Roman" w:hAnsi="Verdana" w:cs="Arial"/>
          <w:sz w:val="20"/>
          <w:szCs w:val="20"/>
          <w:lang w:eastAsia="ar-SA"/>
        </w:rPr>
        <w:t>io di supporto, al Sindaco del C</w:t>
      </w:r>
      <w:r w:rsidRPr="00394EB5">
        <w:rPr>
          <w:rFonts w:ascii="Verdana" w:eastAsia="Times New Roman" w:hAnsi="Verdana" w:cs="Arial"/>
          <w:sz w:val="20"/>
          <w:szCs w:val="20"/>
          <w:lang w:eastAsia="ar-SA"/>
        </w:rPr>
        <w:t xml:space="preserve">omune di </w:t>
      </w:r>
      <w:r w:rsidR="00C21D78">
        <w:rPr>
          <w:rFonts w:ascii="Verdana" w:eastAsia="Times New Roman" w:hAnsi="Verdana" w:cs="Arial"/>
          <w:sz w:val="20"/>
          <w:szCs w:val="20"/>
          <w:lang w:eastAsia="ar-SA"/>
        </w:rPr>
        <w:t>Canosa di Puglia</w:t>
      </w:r>
      <w:r w:rsidR="002F521F">
        <w:rPr>
          <w:rFonts w:ascii="Verdana" w:eastAsia="Times New Roman" w:hAnsi="Verdana" w:cs="Arial"/>
          <w:sz w:val="20"/>
          <w:szCs w:val="20"/>
          <w:lang w:eastAsia="ar-SA"/>
        </w:rPr>
        <w:t>.</w:t>
      </w:r>
    </w:p>
    <w:p w:rsidR="00394EB5" w:rsidRPr="00394EB5" w:rsidRDefault="00394EB5" w:rsidP="00394EB5">
      <w:pPr>
        <w:suppressAutoHyphens/>
        <w:spacing w:after="0" w:line="360" w:lineRule="auto"/>
        <w:ind w:right="-54"/>
        <w:jc w:val="both"/>
        <w:rPr>
          <w:rFonts w:ascii="Verdana" w:eastAsia="Times New Roman" w:hAnsi="Verdana" w:cs="Arial"/>
          <w:sz w:val="20"/>
          <w:szCs w:val="20"/>
          <w:lang w:eastAsia="ar-SA"/>
        </w:rPr>
      </w:pPr>
      <w:r w:rsidRPr="00394EB5">
        <w:rPr>
          <w:rFonts w:ascii="Verdana" w:eastAsia="Times New Roman" w:hAnsi="Verdana" w:cs="Arial"/>
          <w:sz w:val="20"/>
          <w:szCs w:val="20"/>
          <w:lang w:eastAsia="ar-SA"/>
        </w:rPr>
        <w:t xml:space="preserve">Così deciso in Bari, nella camera di consiglio del </w:t>
      </w:r>
      <w:r w:rsidR="00C21D78">
        <w:rPr>
          <w:rFonts w:ascii="Verdana" w:eastAsia="Times New Roman" w:hAnsi="Verdana" w:cs="Arial"/>
          <w:sz w:val="20"/>
          <w:szCs w:val="20"/>
          <w:lang w:eastAsia="ar-SA"/>
        </w:rPr>
        <w:t>30</w:t>
      </w:r>
      <w:r w:rsidR="001160B3">
        <w:rPr>
          <w:rFonts w:ascii="Verdana" w:eastAsia="Times New Roman" w:hAnsi="Verdana" w:cs="Arial"/>
          <w:sz w:val="20"/>
          <w:szCs w:val="20"/>
          <w:lang w:eastAsia="ar-SA"/>
        </w:rPr>
        <w:t xml:space="preserve"> maggio 2018.</w:t>
      </w:r>
    </w:p>
    <w:p w:rsidR="009E218A" w:rsidRDefault="009E218A" w:rsidP="009E218A">
      <w:pPr>
        <w:tabs>
          <w:tab w:val="left" w:pos="9638"/>
        </w:tabs>
        <w:spacing w:before="360" w:after="0" w:line="360" w:lineRule="auto"/>
        <w:rPr>
          <w:rFonts w:ascii="Verdana" w:hAnsi="Verdana" w:cs="Verdana"/>
          <w:sz w:val="20"/>
          <w:szCs w:val="20"/>
        </w:rPr>
      </w:pPr>
      <w:r>
        <w:rPr>
          <w:rFonts w:ascii="Verdana" w:hAnsi="Verdana" w:cs="Verdana"/>
          <w:sz w:val="20"/>
          <w:szCs w:val="20"/>
        </w:rPr>
        <w:t xml:space="preserve">Il Magistrato relatore                                                            Il Presidente </w:t>
      </w:r>
    </w:p>
    <w:p w:rsidR="009E218A" w:rsidRDefault="009E218A" w:rsidP="009E218A">
      <w:pPr>
        <w:tabs>
          <w:tab w:val="left" w:pos="9638"/>
        </w:tabs>
        <w:spacing w:line="360" w:lineRule="auto"/>
        <w:jc w:val="both"/>
        <w:rPr>
          <w:rFonts w:ascii="Verdana" w:hAnsi="Verdana" w:cs="Verdana"/>
          <w:sz w:val="20"/>
          <w:szCs w:val="20"/>
        </w:rPr>
      </w:pPr>
      <w:r>
        <w:rPr>
          <w:rFonts w:ascii="Verdana" w:hAnsi="Verdana" w:cs="Verdana"/>
          <w:sz w:val="20"/>
          <w:szCs w:val="20"/>
        </w:rPr>
        <w:t xml:space="preserve">F.to Carmelina ADDESSO                                                      F.to Agostino CHIAPPINIELLO </w:t>
      </w:r>
    </w:p>
    <w:p w:rsidR="009E218A" w:rsidRDefault="009E218A" w:rsidP="009E218A">
      <w:pPr>
        <w:tabs>
          <w:tab w:val="left" w:pos="9638"/>
        </w:tabs>
        <w:spacing w:after="0" w:line="360" w:lineRule="auto"/>
        <w:jc w:val="both"/>
        <w:rPr>
          <w:rFonts w:ascii="Verdana" w:hAnsi="Verdana" w:cs="Verdana"/>
          <w:sz w:val="20"/>
          <w:szCs w:val="20"/>
        </w:rPr>
      </w:pPr>
      <w:r>
        <w:rPr>
          <w:rFonts w:ascii="Verdana" w:hAnsi="Verdana" w:cs="Verdana"/>
          <w:sz w:val="20"/>
          <w:szCs w:val="20"/>
        </w:rPr>
        <w:t>Depositata in Segreteria il 30 maggio 2018</w:t>
      </w:r>
    </w:p>
    <w:p w:rsidR="009E218A" w:rsidRDefault="009E218A" w:rsidP="009E218A">
      <w:pPr>
        <w:tabs>
          <w:tab w:val="left" w:pos="9638"/>
        </w:tabs>
        <w:spacing w:after="0" w:line="360" w:lineRule="auto"/>
        <w:jc w:val="both"/>
        <w:rPr>
          <w:rFonts w:ascii="Verdana" w:hAnsi="Verdana" w:cs="Verdana"/>
          <w:sz w:val="20"/>
          <w:szCs w:val="20"/>
        </w:rPr>
      </w:pPr>
      <w:r>
        <w:rPr>
          <w:rFonts w:ascii="Verdana" w:hAnsi="Verdana" w:cs="Verdana"/>
          <w:sz w:val="20"/>
          <w:szCs w:val="20"/>
        </w:rPr>
        <w:t>Il Direttore della Segreteria</w:t>
      </w:r>
    </w:p>
    <w:p w:rsidR="009E218A" w:rsidRDefault="009E218A" w:rsidP="009E218A">
      <w:pPr>
        <w:tabs>
          <w:tab w:val="left" w:pos="9638"/>
        </w:tabs>
        <w:spacing w:after="0" w:line="360" w:lineRule="auto"/>
        <w:jc w:val="both"/>
        <w:rPr>
          <w:rFonts w:ascii="Times New Roman" w:hAnsi="Times New Roman" w:cs="Mangal"/>
          <w:sz w:val="24"/>
          <w:szCs w:val="24"/>
        </w:rPr>
      </w:pPr>
      <w:r>
        <w:rPr>
          <w:rFonts w:ascii="Verdana" w:hAnsi="Verdana" w:cs="Verdana"/>
          <w:sz w:val="20"/>
          <w:szCs w:val="20"/>
        </w:rPr>
        <w:t>F.to dott.ssa Marialuce Sciannameo</w:t>
      </w:r>
    </w:p>
    <w:bookmarkEnd w:id="0"/>
    <w:p w:rsidR="00394EB5" w:rsidRPr="00394EB5" w:rsidRDefault="00394EB5" w:rsidP="00394EB5">
      <w:pPr>
        <w:suppressAutoHyphens/>
        <w:spacing w:after="0" w:line="360" w:lineRule="auto"/>
        <w:ind w:left="567" w:right="851"/>
        <w:jc w:val="both"/>
        <w:rPr>
          <w:rFonts w:ascii="Verdana" w:eastAsia="Times New Roman" w:hAnsi="Verdana" w:cs="Times New Roman"/>
          <w:sz w:val="20"/>
          <w:szCs w:val="20"/>
          <w:lang w:eastAsia="it-IT"/>
        </w:rPr>
      </w:pPr>
    </w:p>
    <w:sectPr w:rsidR="00394EB5" w:rsidRPr="00394EB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76C" w:rsidRDefault="00B0276C" w:rsidP="003E6887">
      <w:pPr>
        <w:spacing w:after="0" w:line="240" w:lineRule="auto"/>
      </w:pPr>
      <w:r>
        <w:separator/>
      </w:r>
    </w:p>
  </w:endnote>
  <w:endnote w:type="continuationSeparator" w:id="0">
    <w:p w:rsidR="00B0276C" w:rsidRDefault="00B0276C" w:rsidP="003E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87" w:rsidRDefault="003E68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45439"/>
      <w:docPartObj>
        <w:docPartGallery w:val="Page Numbers (Bottom of Page)"/>
        <w:docPartUnique/>
      </w:docPartObj>
    </w:sdtPr>
    <w:sdtEndPr/>
    <w:sdtContent>
      <w:p w:rsidR="003E6887" w:rsidRDefault="003E6887">
        <w:pPr>
          <w:pStyle w:val="Pidipagina"/>
          <w:jc w:val="right"/>
        </w:pPr>
        <w:r>
          <w:fldChar w:fldCharType="begin"/>
        </w:r>
        <w:r>
          <w:instrText>PAGE   \* MERGEFORMAT</w:instrText>
        </w:r>
        <w:r>
          <w:fldChar w:fldCharType="separate"/>
        </w:r>
        <w:r w:rsidR="00757B53">
          <w:rPr>
            <w:noProof/>
          </w:rPr>
          <w:t>6</w:t>
        </w:r>
        <w:r>
          <w:fldChar w:fldCharType="end"/>
        </w:r>
      </w:p>
    </w:sdtContent>
  </w:sdt>
  <w:p w:rsidR="003E6887" w:rsidRDefault="003E68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87" w:rsidRDefault="003E68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76C" w:rsidRDefault="00B0276C" w:rsidP="003E6887">
      <w:pPr>
        <w:spacing w:after="0" w:line="240" w:lineRule="auto"/>
      </w:pPr>
      <w:r>
        <w:separator/>
      </w:r>
    </w:p>
  </w:footnote>
  <w:footnote w:type="continuationSeparator" w:id="0">
    <w:p w:rsidR="00B0276C" w:rsidRDefault="00B0276C" w:rsidP="003E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87" w:rsidRDefault="003E68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87" w:rsidRDefault="003E68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87" w:rsidRDefault="003E688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92"/>
    <w:rsid w:val="00003BB7"/>
    <w:rsid w:val="0001045E"/>
    <w:rsid w:val="00026583"/>
    <w:rsid w:val="00040FDA"/>
    <w:rsid w:val="000505AF"/>
    <w:rsid w:val="00054547"/>
    <w:rsid w:val="00066422"/>
    <w:rsid w:val="00067F06"/>
    <w:rsid w:val="00071B63"/>
    <w:rsid w:val="00093FAD"/>
    <w:rsid w:val="000E23C2"/>
    <w:rsid w:val="001160B3"/>
    <w:rsid w:val="00176F08"/>
    <w:rsid w:val="001874E1"/>
    <w:rsid w:val="001926D7"/>
    <w:rsid w:val="001C25F7"/>
    <w:rsid w:val="001C2E0B"/>
    <w:rsid w:val="0020785C"/>
    <w:rsid w:val="002078A4"/>
    <w:rsid w:val="00251643"/>
    <w:rsid w:val="002F521F"/>
    <w:rsid w:val="003230DF"/>
    <w:rsid w:val="00362FD8"/>
    <w:rsid w:val="00394EB5"/>
    <w:rsid w:val="003967CF"/>
    <w:rsid w:val="003E6887"/>
    <w:rsid w:val="004174A9"/>
    <w:rsid w:val="004828F0"/>
    <w:rsid w:val="00483771"/>
    <w:rsid w:val="00524602"/>
    <w:rsid w:val="005436A2"/>
    <w:rsid w:val="00557EFA"/>
    <w:rsid w:val="00557F40"/>
    <w:rsid w:val="005A2BC4"/>
    <w:rsid w:val="005C4732"/>
    <w:rsid w:val="005C5E6D"/>
    <w:rsid w:val="00613765"/>
    <w:rsid w:val="006822D0"/>
    <w:rsid w:val="006B418A"/>
    <w:rsid w:val="006C6C36"/>
    <w:rsid w:val="006D248C"/>
    <w:rsid w:val="006F427F"/>
    <w:rsid w:val="00757B53"/>
    <w:rsid w:val="00757CCD"/>
    <w:rsid w:val="00785EC9"/>
    <w:rsid w:val="007A7575"/>
    <w:rsid w:val="007B25FF"/>
    <w:rsid w:val="007C7EF9"/>
    <w:rsid w:val="007F0D92"/>
    <w:rsid w:val="00826A5C"/>
    <w:rsid w:val="00836235"/>
    <w:rsid w:val="0084011B"/>
    <w:rsid w:val="00885C31"/>
    <w:rsid w:val="008A5F0C"/>
    <w:rsid w:val="008E7888"/>
    <w:rsid w:val="00911253"/>
    <w:rsid w:val="009230E0"/>
    <w:rsid w:val="00967522"/>
    <w:rsid w:val="009C39CC"/>
    <w:rsid w:val="009D36F0"/>
    <w:rsid w:val="009E218A"/>
    <w:rsid w:val="00A365E6"/>
    <w:rsid w:val="00A51027"/>
    <w:rsid w:val="00A55766"/>
    <w:rsid w:val="00A760F0"/>
    <w:rsid w:val="00AA0BBC"/>
    <w:rsid w:val="00AA5AF3"/>
    <w:rsid w:val="00B01309"/>
    <w:rsid w:val="00B0276C"/>
    <w:rsid w:val="00B02FED"/>
    <w:rsid w:val="00B13628"/>
    <w:rsid w:val="00B23E1F"/>
    <w:rsid w:val="00B6541A"/>
    <w:rsid w:val="00B80511"/>
    <w:rsid w:val="00B80839"/>
    <w:rsid w:val="00B85387"/>
    <w:rsid w:val="00BE186E"/>
    <w:rsid w:val="00BE2FED"/>
    <w:rsid w:val="00BE6A7D"/>
    <w:rsid w:val="00C21035"/>
    <w:rsid w:val="00C21D78"/>
    <w:rsid w:val="00C26A22"/>
    <w:rsid w:val="00C352BD"/>
    <w:rsid w:val="00CB2059"/>
    <w:rsid w:val="00CD4AB7"/>
    <w:rsid w:val="00D050AC"/>
    <w:rsid w:val="00D14F21"/>
    <w:rsid w:val="00D21631"/>
    <w:rsid w:val="00D438A5"/>
    <w:rsid w:val="00D6369C"/>
    <w:rsid w:val="00DD3DF1"/>
    <w:rsid w:val="00DF4789"/>
    <w:rsid w:val="00E315CC"/>
    <w:rsid w:val="00EC412F"/>
    <w:rsid w:val="00ED2300"/>
    <w:rsid w:val="00F10C92"/>
    <w:rsid w:val="00FE7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CE4ABB-C07D-4A36-B780-CC1D632A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412F"/>
    <w:pPr>
      <w:spacing w:after="0"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3E6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887"/>
  </w:style>
  <w:style w:type="paragraph" w:styleId="Pidipagina">
    <w:name w:val="footer"/>
    <w:basedOn w:val="Normale"/>
    <w:link w:val="PidipaginaCarattere"/>
    <w:uiPriority w:val="99"/>
    <w:unhideWhenUsed/>
    <w:rsid w:val="003E6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Addesso Carmelina</dc:creator>
  <cp:keywords/>
  <dc:description/>
  <cp:lastModifiedBy>Giuseppe Panassidi</cp:lastModifiedBy>
  <cp:revision>2</cp:revision>
  <dcterms:created xsi:type="dcterms:W3CDTF">2018-06-28T15:25:00Z</dcterms:created>
  <dcterms:modified xsi:type="dcterms:W3CDTF">2018-06-28T15:25:00Z</dcterms:modified>
</cp:coreProperties>
</file>